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FAB" w:rsidRPr="00AD2FAB" w:rsidRDefault="00AD2FAB" w:rsidP="00AD2FAB">
      <w:pPr>
        <w:pStyle w:val="Default"/>
        <w:jc w:val="center"/>
        <w:rPr>
          <w:rFonts w:asciiTheme="minorHAnsi" w:hAnsiTheme="minorHAnsi"/>
        </w:rPr>
      </w:pPr>
      <w:bookmarkStart w:id="0" w:name="_GoBack"/>
      <w:bookmarkEnd w:id="0"/>
      <w:r w:rsidRPr="00AD2FAB">
        <w:rPr>
          <w:rFonts w:asciiTheme="minorHAnsi" w:hAnsiTheme="minorHAnsi"/>
          <w:b/>
          <w:bCs/>
          <w:iCs/>
          <w:sz w:val="32"/>
          <w:szCs w:val="32"/>
        </w:rPr>
        <w:t>Riziko vzniku požiaru spojené s vykurovacím obdobím</w:t>
      </w:r>
      <w:r w:rsidR="001D3539">
        <w:rPr>
          <w:rFonts w:asciiTheme="minorHAnsi" w:hAnsiTheme="minorHAnsi"/>
          <w:b/>
          <w:bCs/>
          <w:iCs/>
          <w:sz w:val="32"/>
          <w:szCs w:val="32"/>
        </w:rPr>
        <w:t xml:space="preserve"> </w:t>
      </w:r>
    </w:p>
    <w:p w:rsidR="00AD2FAB" w:rsidRDefault="00AD2FAB" w:rsidP="00E93EDA"/>
    <w:p w:rsidR="00594E5C" w:rsidRDefault="00AD2FAB" w:rsidP="003D60C1">
      <w:pPr>
        <w:jc w:val="both"/>
      </w:pPr>
      <w:r>
        <w:tab/>
      </w:r>
      <w:r w:rsidR="00594E5C">
        <w:t xml:space="preserve">Založiť oheň dokázal už človek v praveku. Aby si nezničil príbytok, musel dbať na bezpečnosť pri manipulácii s ohňom. Dnes je vykurovanie objektov rôznorodé, ale jedno má spoločné - zásady dodržiavania bezpečnosti a kontroly. Pri vykurovaní s tuhými horľavými látkami je dôležité  skladovanie dreva, uhlia a papierov, čistenie komínového telesa aj bezpečné zakurovanie a prikladanie. Nedodržanie zásad bezpečnosti môžu zapríčiniť požiar. </w:t>
      </w:r>
    </w:p>
    <w:p w:rsidR="003D60C1" w:rsidRDefault="003D60C1" w:rsidP="003D60C1">
      <w:pPr>
        <w:jc w:val="both"/>
      </w:pPr>
      <w:r>
        <w:t>Vykurovacie obdobie každoročne patrí medzi najrizikovejšie obdobia v kalendárnom roku z hľadiska zvýšeného počtu požiarov v bytových ale aj nebytových priestoroch buď od palivového spotrebiča alebo v komínovom telese, či dymovode.</w:t>
      </w:r>
    </w:p>
    <w:p w:rsidR="009C77BF" w:rsidRDefault="009C77BF" w:rsidP="009C77BF">
      <w:pPr>
        <w:ind w:firstLine="708"/>
        <w:jc w:val="both"/>
      </w:pPr>
      <w:r>
        <w:t xml:space="preserve">Krby, kachle, kotle a komíny sú technické zariadenia, ktoré sú súčasťou každého domu. Ich správna inštalácia, osadenie a prevádzkovanie je zabezpečením istoty v našom domove. Preto je potrebné dbať na údržbu týchto zariadení. Oheň je dobrý sluha, ale zlý pán. </w:t>
      </w:r>
    </w:p>
    <w:p w:rsidR="009C77BF" w:rsidRDefault="009C77BF" w:rsidP="009C77BF">
      <w:pPr>
        <w:ind w:firstLine="708"/>
        <w:jc w:val="both"/>
      </w:pPr>
      <w:r>
        <w:t xml:space="preserve">Vyhláška MV SR č. 401/2007 </w:t>
      </w:r>
      <w:proofErr w:type="spellStart"/>
      <w:r>
        <w:t>Z.z</w:t>
      </w:r>
      <w:proofErr w:type="spellEnd"/>
      <w:r>
        <w:t xml:space="preserve">.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vykonávaní kontrol, presnejšie definuje podmienky pre požiarnu bezpečnosť. </w:t>
      </w:r>
    </w:p>
    <w:p w:rsidR="009C77BF" w:rsidRDefault="009C77BF" w:rsidP="009C77BF">
      <w:pPr>
        <w:jc w:val="both"/>
      </w:pPr>
      <w:r>
        <w:t xml:space="preserve">Z nej vyberáme: </w:t>
      </w:r>
    </w:p>
    <w:p w:rsidR="009C77BF" w:rsidRDefault="009C77BF" w:rsidP="009C77BF">
      <w:pPr>
        <w:numPr>
          <w:ilvl w:val="0"/>
          <w:numId w:val="13"/>
        </w:numPr>
        <w:tabs>
          <w:tab w:val="clear" w:pos="1068"/>
          <w:tab w:val="num" w:pos="709"/>
        </w:tabs>
        <w:spacing w:after="0" w:line="240" w:lineRule="auto"/>
        <w:ind w:left="709" w:hanging="425"/>
        <w:jc w:val="both"/>
      </w:pPr>
      <w:r>
        <w:t xml:space="preserve">vzdialenosť komína od krokiev dreveného krovu má byť min. </w:t>
      </w:r>
      <w:smartTag w:uri="urn:schemas-microsoft-com:office:smarttags" w:element="metricconverter">
        <w:smartTagPr>
          <w:attr w:name="ProductID" w:val="30 cm"/>
        </w:smartTagPr>
        <w:r>
          <w:t>30 cm</w:t>
        </w:r>
      </w:smartTag>
      <w:r>
        <w:t xml:space="preserve"> </w:t>
      </w:r>
    </w:p>
    <w:p w:rsidR="009C77BF" w:rsidRDefault="009C77BF" w:rsidP="009C77BF">
      <w:pPr>
        <w:numPr>
          <w:ilvl w:val="0"/>
          <w:numId w:val="13"/>
        </w:numPr>
        <w:tabs>
          <w:tab w:val="clear" w:pos="1068"/>
          <w:tab w:val="num" w:pos="709"/>
        </w:tabs>
        <w:spacing w:after="0" w:line="240" w:lineRule="auto"/>
        <w:ind w:left="709" w:hanging="425"/>
        <w:jc w:val="both"/>
      </w:pPr>
      <w:r>
        <w:t xml:space="preserve">a od ostatných drevených častí min. </w:t>
      </w:r>
      <w:smartTag w:uri="urn:schemas-microsoft-com:office:smarttags" w:element="metricconverter">
        <w:smartTagPr>
          <w:attr w:name="ProductID" w:val="10 cm"/>
        </w:smartTagPr>
        <w:r>
          <w:t>10 cm</w:t>
        </w:r>
      </w:smartTag>
      <w:r>
        <w:t xml:space="preserve">. </w:t>
      </w:r>
    </w:p>
    <w:p w:rsidR="009C77BF" w:rsidRDefault="009C77BF" w:rsidP="009C77BF">
      <w:pPr>
        <w:numPr>
          <w:ilvl w:val="0"/>
          <w:numId w:val="13"/>
        </w:numPr>
        <w:tabs>
          <w:tab w:val="clear" w:pos="1068"/>
          <w:tab w:val="num" w:pos="709"/>
        </w:tabs>
        <w:spacing w:after="0" w:line="240" w:lineRule="auto"/>
        <w:ind w:left="709" w:hanging="425"/>
        <w:jc w:val="both"/>
      </w:pPr>
      <w:r>
        <w:t xml:space="preserve">ak túto vzdialenosť nie je možné dodržať je potrebné drevené časti od komína izolovať nehorľavou izoláciou  min. </w:t>
      </w:r>
      <w:smartTag w:uri="urn:schemas-microsoft-com:office:smarttags" w:element="metricconverter">
        <w:smartTagPr>
          <w:attr w:name="ProductID" w:val="1 cm"/>
        </w:smartTagPr>
        <w:r>
          <w:t>1 cm</w:t>
        </w:r>
      </w:smartTag>
      <w:r>
        <w:t xml:space="preserve"> hrúbkou</w:t>
      </w:r>
    </w:p>
    <w:p w:rsidR="009C77BF" w:rsidRDefault="009C77BF" w:rsidP="009C77BF">
      <w:pPr>
        <w:spacing w:after="0" w:line="240" w:lineRule="auto"/>
        <w:ind w:left="709"/>
        <w:jc w:val="both"/>
      </w:pPr>
    </w:p>
    <w:p w:rsidR="009C77BF" w:rsidRPr="009C77BF" w:rsidRDefault="009C77BF" w:rsidP="009C77BF">
      <w:pPr>
        <w:numPr>
          <w:ilvl w:val="0"/>
          <w:numId w:val="13"/>
        </w:numPr>
        <w:tabs>
          <w:tab w:val="clear" w:pos="1068"/>
          <w:tab w:val="num" w:pos="709"/>
        </w:tabs>
        <w:spacing w:after="0" w:line="240" w:lineRule="auto"/>
        <w:ind w:left="709" w:hanging="425"/>
        <w:jc w:val="both"/>
        <w:rPr>
          <w:b/>
        </w:rPr>
      </w:pPr>
      <w:r w:rsidRPr="009C77BF">
        <w:rPr>
          <w:b/>
        </w:rPr>
        <w:t>lehoty čistenia komínov sú stanovené podľa druhu paliva a tepelného výkonu spotrebiča</w:t>
      </w:r>
    </w:p>
    <w:p w:rsidR="009C77BF" w:rsidRDefault="009C77BF" w:rsidP="009C77BF">
      <w:pPr>
        <w:numPr>
          <w:ilvl w:val="1"/>
          <w:numId w:val="13"/>
        </w:numPr>
        <w:tabs>
          <w:tab w:val="num" w:pos="709"/>
          <w:tab w:val="left" w:pos="2520"/>
        </w:tabs>
        <w:spacing w:after="0" w:line="240" w:lineRule="auto"/>
        <w:ind w:left="709" w:hanging="425"/>
        <w:jc w:val="both"/>
      </w:pPr>
      <w:r>
        <w:t> pre rodinné domy – kotol na tuhé palivo je každé 4 mesiace</w:t>
      </w:r>
    </w:p>
    <w:p w:rsidR="009C77BF" w:rsidRDefault="009C77BF" w:rsidP="009C77BF">
      <w:pPr>
        <w:numPr>
          <w:ilvl w:val="1"/>
          <w:numId w:val="13"/>
        </w:numPr>
        <w:tabs>
          <w:tab w:val="num" w:pos="709"/>
          <w:tab w:val="left" w:pos="2520"/>
        </w:tabs>
        <w:spacing w:after="0" w:line="240" w:lineRule="auto"/>
        <w:ind w:left="709" w:hanging="425"/>
        <w:jc w:val="both"/>
      </w:pPr>
      <w:r>
        <w:t> </w:t>
      </w:r>
      <w:r>
        <w:tab/>
      </w:r>
      <w:r>
        <w:tab/>
      </w:r>
      <w:r>
        <w:tab/>
        <w:t xml:space="preserve"> – kotol na plyn je 1x za 12 mesiacov</w:t>
      </w:r>
    </w:p>
    <w:p w:rsidR="009C77BF" w:rsidRDefault="009C77BF" w:rsidP="009C77BF">
      <w:pPr>
        <w:numPr>
          <w:ilvl w:val="1"/>
          <w:numId w:val="13"/>
        </w:numPr>
        <w:tabs>
          <w:tab w:val="num" w:pos="709"/>
          <w:tab w:val="left" w:pos="2520"/>
        </w:tabs>
        <w:spacing w:after="0" w:line="240" w:lineRule="auto"/>
        <w:ind w:left="709" w:hanging="425"/>
        <w:jc w:val="both"/>
      </w:pPr>
      <w:r>
        <w:t> </w:t>
      </w:r>
      <w:r>
        <w:tab/>
      </w:r>
      <w:r>
        <w:tab/>
      </w:r>
      <w:r>
        <w:tab/>
        <w:t xml:space="preserve"> – krb  1x 12 mesiacov</w:t>
      </w:r>
    </w:p>
    <w:p w:rsidR="009C77BF" w:rsidRDefault="009C77BF" w:rsidP="009C77BF">
      <w:pPr>
        <w:tabs>
          <w:tab w:val="left" w:pos="2520"/>
        </w:tabs>
        <w:spacing w:after="0" w:line="240" w:lineRule="auto"/>
        <w:ind w:left="709"/>
        <w:jc w:val="both"/>
      </w:pPr>
    </w:p>
    <w:p w:rsidR="009C77BF" w:rsidRPr="009C77BF" w:rsidRDefault="009C77BF" w:rsidP="009C77BF">
      <w:pPr>
        <w:numPr>
          <w:ilvl w:val="0"/>
          <w:numId w:val="13"/>
        </w:numPr>
        <w:tabs>
          <w:tab w:val="clear" w:pos="1068"/>
          <w:tab w:val="num" w:pos="709"/>
          <w:tab w:val="left" w:pos="2520"/>
        </w:tabs>
        <w:spacing w:after="0" w:line="240" w:lineRule="auto"/>
        <w:ind w:left="709" w:hanging="425"/>
        <w:jc w:val="both"/>
        <w:rPr>
          <w:b/>
        </w:rPr>
      </w:pPr>
      <w:r w:rsidRPr="009C77BF">
        <w:rPr>
          <w:b/>
        </w:rPr>
        <w:t>bezpečná vzdialenosť tepelných spotrebičov a dymovodu od horľavých predmetov a horľavých látok</w:t>
      </w:r>
    </w:p>
    <w:p w:rsidR="009C77BF" w:rsidRDefault="009C77BF" w:rsidP="009C77BF">
      <w:pPr>
        <w:numPr>
          <w:ilvl w:val="1"/>
          <w:numId w:val="13"/>
        </w:numPr>
        <w:tabs>
          <w:tab w:val="num" w:pos="709"/>
          <w:tab w:val="left" w:pos="2520"/>
        </w:tabs>
        <w:spacing w:after="0" w:line="240" w:lineRule="auto"/>
        <w:ind w:left="709" w:hanging="425"/>
        <w:jc w:val="both"/>
      </w:pPr>
      <w:r>
        <w:t xml:space="preserve"> spotrebič na tuhé palivo   </w:t>
      </w:r>
      <w:smartTag w:uri="urn:schemas-microsoft-com:office:smarttags" w:element="metricconverter">
        <w:smartTagPr>
          <w:attr w:name="ProductID" w:val="800 mm"/>
        </w:smartTagPr>
        <w:r>
          <w:t>800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na kvapalné palivo           </w:t>
      </w:r>
      <w:smartTag w:uri="urn:schemas-microsoft-com:office:smarttags" w:element="metricconverter">
        <w:smartTagPr>
          <w:attr w:name="ProductID" w:val="400 mm"/>
        </w:smartTagPr>
        <w:r>
          <w:t>400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na plynné palivo               </w:t>
      </w:r>
      <w:smartTag w:uri="urn:schemas-microsoft-com:office:smarttags" w:element="metricconverter">
        <w:smartTagPr>
          <w:attr w:name="ProductID" w:val="200 mm"/>
        </w:smartTagPr>
        <w:r>
          <w:t>200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elektrické akumulačné kachle   v smere výfuku </w:t>
      </w:r>
      <w:smartTag w:uri="urn:schemas-microsoft-com:office:smarttags" w:element="metricconverter">
        <w:smartTagPr>
          <w:attr w:name="ProductID" w:val="1000 mm"/>
        </w:smartTagPr>
        <w:r>
          <w:t>1000 mm</w:t>
        </w:r>
      </w:smartTag>
      <w:r>
        <w:t xml:space="preserve"> a v ostatných smeroch 200 mm</w:t>
      </w:r>
    </w:p>
    <w:p w:rsidR="009C77BF" w:rsidRDefault="009C77BF" w:rsidP="009C77BF">
      <w:pPr>
        <w:tabs>
          <w:tab w:val="left" w:pos="2520"/>
        </w:tabs>
        <w:spacing w:after="0" w:line="240" w:lineRule="auto"/>
        <w:ind w:left="709"/>
        <w:jc w:val="both"/>
      </w:pP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sporáku a kozube s uzatvoreným ohniskom musí presahovať pôdorys z boku 300mm a spredu 600mm</w:t>
      </w: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kozube s otvoreným ohniskom musí presahovať pôdorys z boku 400mm a spredu 800mm</w:t>
      </w: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kachliach musí presahovať pôdorys z boku 100mm a spredu 300mm</w:t>
      </w:r>
    </w:p>
    <w:p w:rsidR="009C77BF" w:rsidRDefault="009C77BF" w:rsidP="009C77BF">
      <w:pPr>
        <w:pStyle w:val="Odsekzoznamu"/>
        <w:tabs>
          <w:tab w:val="left" w:pos="720"/>
        </w:tabs>
        <w:ind w:left="1068"/>
        <w:jc w:val="both"/>
      </w:pPr>
    </w:p>
    <w:p w:rsidR="009C77BF" w:rsidRDefault="009C77BF" w:rsidP="009C77BF">
      <w:pPr>
        <w:pStyle w:val="Odsekzoznamu"/>
        <w:tabs>
          <w:tab w:val="left" w:pos="720"/>
        </w:tabs>
        <w:ind w:left="1068"/>
        <w:jc w:val="both"/>
      </w:pPr>
    </w:p>
    <w:p w:rsidR="009C77BF" w:rsidRDefault="009C77BF" w:rsidP="009C77BF">
      <w:pPr>
        <w:tabs>
          <w:tab w:val="left" w:pos="720"/>
        </w:tabs>
        <w:ind w:left="708"/>
        <w:jc w:val="both"/>
      </w:pPr>
    </w:p>
    <w:p w:rsidR="009C77BF" w:rsidRDefault="009C77BF" w:rsidP="009C77BF">
      <w:pPr>
        <w:tabs>
          <w:tab w:val="left" w:pos="720"/>
        </w:tabs>
        <w:ind w:left="708"/>
        <w:jc w:val="both"/>
      </w:pPr>
    </w:p>
    <w:p w:rsidR="0001626B" w:rsidRPr="0001626B" w:rsidRDefault="0001626B" w:rsidP="00E93EDA">
      <w:pPr>
        <w:rPr>
          <w:b/>
        </w:rPr>
      </w:pPr>
      <w:r w:rsidRPr="0001626B">
        <w:rPr>
          <w:b/>
        </w:rPr>
        <w:lastRenderedPageBreak/>
        <w:t>Komínové telesá:</w:t>
      </w:r>
    </w:p>
    <w:p w:rsidR="00234B98" w:rsidRDefault="00E93EDA" w:rsidP="00562773">
      <w:pPr>
        <w:pStyle w:val="Odsekzoznamu"/>
        <w:numPr>
          <w:ilvl w:val="0"/>
          <w:numId w:val="6"/>
        </w:numPr>
        <w:jc w:val="both"/>
      </w:pPr>
      <w:r>
        <w:t>Nebezpeč</w:t>
      </w:r>
      <w:r w:rsidR="005A110C">
        <w:t>enstvo</w:t>
      </w:r>
      <w:r>
        <w:t xml:space="preserve"> pož</w:t>
      </w:r>
      <w:r w:rsidR="005A110C">
        <w:t>ia</w:t>
      </w:r>
      <w:r>
        <w:t xml:space="preserve">ru </w:t>
      </w:r>
      <w:r w:rsidR="005A110C">
        <w:t>vo vnútri</w:t>
      </w:r>
      <w:r>
        <w:t xml:space="preserve"> komín</w:t>
      </w:r>
      <w:r w:rsidR="005A110C">
        <w:t>ov</w:t>
      </w:r>
      <w:r>
        <w:t xml:space="preserve"> je </w:t>
      </w:r>
      <w:r w:rsidR="005A110C">
        <w:t>najčastejšie pri pripojených</w:t>
      </w:r>
      <w:r>
        <w:t xml:space="preserve"> spot</w:t>
      </w:r>
      <w:r w:rsidR="005A110C">
        <w:t>r</w:t>
      </w:r>
      <w:r>
        <w:t>ebič</w:t>
      </w:r>
      <w:r w:rsidR="005A110C">
        <w:t>och</w:t>
      </w:r>
      <w:r>
        <w:t xml:space="preserve"> na tuh</w:t>
      </w:r>
      <w:r w:rsidR="005A110C">
        <w:t>é</w:t>
      </w:r>
      <w:r>
        <w:t xml:space="preserve"> paliv</w:t>
      </w:r>
      <w:r w:rsidR="005A110C">
        <w:t>á</w:t>
      </w:r>
      <w:r>
        <w:t>. P</w:t>
      </w:r>
      <w:r w:rsidR="005A110C">
        <w:t>r</w:t>
      </w:r>
      <w:r>
        <w:t>i pr</w:t>
      </w:r>
      <w:r w:rsidR="005A110C">
        <w:t>evádzke komína</w:t>
      </w:r>
      <w:r>
        <w:t>, kt</w:t>
      </w:r>
      <w:r w:rsidR="005A110C">
        <w:t>o</w:t>
      </w:r>
      <w:r>
        <w:t xml:space="preserve">rý </w:t>
      </w:r>
      <w:r w:rsidR="005A110C">
        <w:t>nie je úplne v poriadku (vplyvom</w:t>
      </w:r>
      <w:r>
        <w:t xml:space="preserve"> </w:t>
      </w:r>
      <w:r w:rsidR="005A110C">
        <w:t>zlého stavu komína nebo dymovodu</w:t>
      </w:r>
      <w:r>
        <w:t xml:space="preserve">, </w:t>
      </w:r>
      <w:r w:rsidR="005A110C">
        <w:t>zlej</w:t>
      </w:r>
      <w:r>
        <w:t xml:space="preserve"> kvality tuhých pal</w:t>
      </w:r>
      <w:r w:rsidR="005A110C">
        <w:t>í</w:t>
      </w:r>
      <w:r>
        <w:t>v), s</w:t>
      </w:r>
      <w:r w:rsidR="005A110C">
        <w:t>a na vnútornej</w:t>
      </w:r>
      <w:r>
        <w:t xml:space="preserve"> stran</w:t>
      </w:r>
      <w:r w:rsidR="005A110C">
        <w:t>e</w:t>
      </w:r>
      <w:r>
        <w:t xml:space="preserve"> komínov</w:t>
      </w:r>
      <w:r w:rsidR="005A110C">
        <w:t>ej</w:t>
      </w:r>
      <w:r>
        <w:t xml:space="preserve"> vložky m</w:t>
      </w:r>
      <w:r w:rsidR="005A110C">
        <w:t>ôže veľ</w:t>
      </w:r>
      <w:r>
        <w:t>mi r</w:t>
      </w:r>
      <w:r w:rsidR="005A110C">
        <w:t>ý</w:t>
      </w:r>
      <w:r>
        <w:t>chl</w:t>
      </w:r>
      <w:r w:rsidR="005A110C">
        <w:t>o vy</w:t>
      </w:r>
      <w:r>
        <w:t>tvo</w:t>
      </w:r>
      <w:r w:rsidR="005A110C">
        <w:t>r</w:t>
      </w:r>
      <w:r>
        <w:t>i</w:t>
      </w:r>
      <w:r w:rsidR="005A110C">
        <w:t>ť</w:t>
      </w:r>
      <w:r>
        <w:t xml:space="preserve"> povlak sa</w:t>
      </w:r>
      <w:r w:rsidR="005A110C">
        <w:t>d</w:t>
      </w:r>
      <w:r w:rsidR="00234B98">
        <w:t>zí, kto</w:t>
      </w:r>
      <w:r>
        <w:t xml:space="preserve">ré </w:t>
      </w:r>
      <w:r w:rsidR="00234B98">
        <w:t>sú vytvorené takmer z</w:t>
      </w:r>
      <w:r>
        <w:t xml:space="preserve"> čist</w:t>
      </w:r>
      <w:r w:rsidR="00234B98">
        <w:t>ého</w:t>
      </w:r>
      <w:r>
        <w:t xml:space="preserve"> uhlík</w:t>
      </w:r>
      <w:r w:rsidR="00234B98">
        <w:t>a</w:t>
      </w:r>
      <w:r>
        <w:t>. Intenzita usa</w:t>
      </w:r>
      <w:r w:rsidR="00234B98">
        <w:t>d</w:t>
      </w:r>
      <w:r>
        <w:t>zov</w:t>
      </w:r>
      <w:r w:rsidR="00234B98">
        <w:t>ania</w:t>
      </w:r>
      <w:r>
        <w:t xml:space="preserve">, </w:t>
      </w:r>
      <w:r w:rsidR="00234B98">
        <w:t>hrúbka usadených sadzí</w:t>
      </w:r>
      <w:r>
        <w:t xml:space="preserve"> a</w:t>
      </w:r>
      <w:r w:rsidR="00234B98">
        <w:t> nebezpečenstvo ich vznietenia</w:t>
      </w:r>
      <w:r>
        <w:t xml:space="preserve"> závisí na druhu </w:t>
      </w:r>
      <w:r w:rsidR="00234B98">
        <w:t>palivového spotrebiča</w:t>
      </w:r>
      <w:r>
        <w:t xml:space="preserve"> na tuh</w:t>
      </w:r>
      <w:r w:rsidR="00234B98">
        <w:t>é palivo</w:t>
      </w:r>
      <w:r>
        <w:t>.</w:t>
      </w:r>
    </w:p>
    <w:p w:rsidR="0028467D" w:rsidRDefault="0028467D" w:rsidP="0028467D">
      <w:pPr>
        <w:pStyle w:val="Odsekzoznamu"/>
        <w:jc w:val="both"/>
      </w:pPr>
    </w:p>
    <w:p w:rsidR="00F83FFF" w:rsidRDefault="00E93EDA" w:rsidP="00562773">
      <w:pPr>
        <w:pStyle w:val="Odsekzoznamu"/>
        <w:numPr>
          <w:ilvl w:val="0"/>
          <w:numId w:val="6"/>
        </w:numPr>
        <w:jc w:val="both"/>
      </w:pPr>
      <w:r>
        <w:t>P</w:t>
      </w:r>
      <w:r w:rsidR="00234B98">
        <w:t>ri vyhor</w:t>
      </w:r>
      <w:r>
        <w:t>ení sa</w:t>
      </w:r>
      <w:r w:rsidR="00234B98">
        <w:t>d</w:t>
      </w:r>
      <w:r>
        <w:t>zí vznik</w:t>
      </w:r>
      <w:r w:rsidR="00234B98">
        <w:t>á</w:t>
      </w:r>
      <w:r>
        <w:t xml:space="preserve"> </w:t>
      </w:r>
      <w:r w:rsidR="00234B98">
        <w:t>vo vnútri</w:t>
      </w:r>
      <w:r>
        <w:t xml:space="preserve"> komína teplot</w:t>
      </w:r>
      <w:r w:rsidR="00234B98">
        <w:t>a</w:t>
      </w:r>
      <w:r>
        <w:t xml:space="preserve"> </w:t>
      </w:r>
      <w:r w:rsidR="00234B98">
        <w:t xml:space="preserve">cez 1000 °C. </w:t>
      </w:r>
      <w:r w:rsidR="00890020" w:rsidRPr="00890020">
        <w:rPr>
          <w:rFonts w:eastAsia="Times New Roman" w:cs="Times New Roman"/>
          <w:lang w:eastAsia="sk-SK"/>
        </w:rPr>
        <w:t>Obdobný pr</w:t>
      </w:r>
      <w:r w:rsidR="00890020">
        <w:rPr>
          <w:rFonts w:eastAsia="Times New Roman" w:cs="Times New Roman"/>
          <w:lang w:eastAsia="sk-SK"/>
        </w:rPr>
        <w:t>iebe</w:t>
      </w:r>
      <w:r w:rsidR="00890020" w:rsidRPr="00890020">
        <w:rPr>
          <w:rFonts w:eastAsia="Times New Roman" w:cs="Times New Roman"/>
          <w:lang w:eastAsia="sk-SK"/>
        </w:rPr>
        <w:t>h ho</w:t>
      </w:r>
      <w:r w:rsidR="00890020">
        <w:rPr>
          <w:rFonts w:eastAsia="Times New Roman" w:cs="Times New Roman"/>
          <w:lang w:eastAsia="sk-SK"/>
        </w:rPr>
        <w:t>r</w:t>
      </w:r>
      <w:r w:rsidR="00890020" w:rsidRPr="00890020">
        <w:rPr>
          <w:rFonts w:eastAsia="Times New Roman" w:cs="Times New Roman"/>
          <w:lang w:eastAsia="sk-SK"/>
        </w:rPr>
        <w:t>en</w:t>
      </w:r>
      <w:r w:rsidR="00890020">
        <w:rPr>
          <w:rFonts w:eastAsia="Times New Roman" w:cs="Times New Roman"/>
          <w:lang w:eastAsia="sk-SK"/>
        </w:rPr>
        <w:t>ia</w:t>
      </w:r>
      <w:r w:rsidR="00890020" w:rsidRPr="00890020">
        <w:rPr>
          <w:rFonts w:eastAsia="Times New Roman" w:cs="Times New Roman"/>
          <w:lang w:eastAsia="sk-SK"/>
        </w:rPr>
        <w:t xml:space="preserve"> maj</w:t>
      </w:r>
      <w:r w:rsidR="00890020">
        <w:rPr>
          <w:rFonts w:eastAsia="Times New Roman" w:cs="Times New Roman"/>
          <w:lang w:eastAsia="sk-SK"/>
        </w:rPr>
        <w:t>ú</w:t>
      </w:r>
      <w:r w:rsidR="00890020" w:rsidRPr="00890020">
        <w:rPr>
          <w:rFonts w:eastAsia="Times New Roman" w:cs="Times New Roman"/>
          <w:lang w:eastAsia="sk-SK"/>
        </w:rPr>
        <w:t xml:space="preserve"> </w:t>
      </w:r>
      <w:r w:rsidR="00890020">
        <w:rPr>
          <w:rFonts w:eastAsia="Times New Roman" w:cs="Times New Roman"/>
          <w:lang w:eastAsia="sk-SK"/>
        </w:rPr>
        <w:t>aj</w:t>
      </w:r>
      <w:r w:rsidR="00890020" w:rsidRPr="00890020">
        <w:rPr>
          <w:rFonts w:eastAsia="Times New Roman" w:cs="Times New Roman"/>
          <w:lang w:eastAsia="sk-SK"/>
        </w:rPr>
        <w:t xml:space="preserve"> de</w:t>
      </w:r>
      <w:r w:rsidR="00890020">
        <w:rPr>
          <w:rFonts w:eastAsia="Times New Roman" w:cs="Times New Roman"/>
          <w:lang w:eastAsia="sk-SK"/>
        </w:rPr>
        <w:t>c</w:t>
      </w:r>
      <w:r w:rsidR="00890020" w:rsidRPr="00890020">
        <w:rPr>
          <w:rFonts w:eastAsia="Times New Roman" w:cs="Times New Roman"/>
          <w:lang w:eastAsia="sk-SK"/>
        </w:rPr>
        <w:t>htové usa</w:t>
      </w:r>
      <w:r w:rsidR="00890020">
        <w:rPr>
          <w:rFonts w:eastAsia="Times New Roman" w:cs="Times New Roman"/>
          <w:lang w:eastAsia="sk-SK"/>
        </w:rPr>
        <w:t>d</w:t>
      </w:r>
      <w:r w:rsidR="00890020" w:rsidRPr="00890020">
        <w:rPr>
          <w:rFonts w:eastAsia="Times New Roman" w:cs="Times New Roman"/>
          <w:lang w:eastAsia="sk-SK"/>
        </w:rPr>
        <w:t>eniny vznikaj</w:t>
      </w:r>
      <w:r w:rsidR="00890020">
        <w:rPr>
          <w:rFonts w:eastAsia="Times New Roman" w:cs="Times New Roman"/>
          <w:lang w:eastAsia="sk-SK"/>
        </w:rPr>
        <w:t>ú</w:t>
      </w:r>
      <w:r w:rsidR="00890020" w:rsidRPr="00890020">
        <w:rPr>
          <w:rFonts w:eastAsia="Times New Roman" w:cs="Times New Roman"/>
          <w:lang w:eastAsia="sk-SK"/>
        </w:rPr>
        <w:t>c</w:t>
      </w:r>
      <w:r w:rsidR="00890020">
        <w:rPr>
          <w:rFonts w:eastAsia="Times New Roman" w:cs="Times New Roman"/>
          <w:lang w:eastAsia="sk-SK"/>
        </w:rPr>
        <w:t>e</w:t>
      </w:r>
      <w:r w:rsidR="00890020" w:rsidRPr="00890020">
        <w:rPr>
          <w:rFonts w:eastAsia="Times New Roman" w:cs="Times New Roman"/>
          <w:lang w:eastAsia="sk-SK"/>
        </w:rPr>
        <w:t xml:space="preserve"> p</w:t>
      </w:r>
      <w:r w:rsidR="00890020">
        <w:rPr>
          <w:rFonts w:eastAsia="Times New Roman" w:cs="Times New Roman"/>
          <w:lang w:eastAsia="sk-SK"/>
        </w:rPr>
        <w:t>r</w:t>
      </w:r>
      <w:r w:rsidR="00890020" w:rsidRPr="00890020">
        <w:rPr>
          <w:rFonts w:eastAsia="Times New Roman" w:cs="Times New Roman"/>
          <w:lang w:eastAsia="sk-SK"/>
        </w:rPr>
        <w:t>i nedostat</w:t>
      </w:r>
      <w:r w:rsidR="00890020">
        <w:rPr>
          <w:rFonts w:eastAsia="Times New Roman" w:cs="Times New Roman"/>
          <w:lang w:eastAsia="sk-SK"/>
        </w:rPr>
        <w:t>o</w:t>
      </w:r>
      <w:r w:rsidR="00890020" w:rsidRPr="00890020">
        <w:rPr>
          <w:rFonts w:eastAsia="Times New Roman" w:cs="Times New Roman"/>
          <w:lang w:eastAsia="sk-SK"/>
        </w:rPr>
        <w:t>čn</w:t>
      </w:r>
      <w:r w:rsidR="00890020">
        <w:rPr>
          <w:rFonts w:eastAsia="Times New Roman" w:cs="Times New Roman"/>
          <w:lang w:eastAsia="sk-SK"/>
        </w:rPr>
        <w:t>o</w:t>
      </w:r>
      <w:r w:rsidR="00890020" w:rsidRPr="00890020">
        <w:rPr>
          <w:rFonts w:eastAsia="Times New Roman" w:cs="Times New Roman"/>
          <w:lang w:eastAsia="sk-SK"/>
        </w:rPr>
        <w:t>m spa</w:t>
      </w:r>
      <w:r w:rsidR="00890020">
        <w:rPr>
          <w:rFonts w:eastAsia="Times New Roman" w:cs="Times New Roman"/>
          <w:lang w:eastAsia="sk-SK"/>
        </w:rPr>
        <w:t>ľ</w:t>
      </w:r>
      <w:r w:rsidR="00890020" w:rsidRPr="00890020">
        <w:rPr>
          <w:rFonts w:eastAsia="Times New Roman" w:cs="Times New Roman"/>
          <w:lang w:eastAsia="sk-SK"/>
        </w:rPr>
        <w:t>ov</w:t>
      </w:r>
      <w:r w:rsidR="00890020">
        <w:rPr>
          <w:rFonts w:eastAsia="Times New Roman" w:cs="Times New Roman"/>
          <w:lang w:eastAsia="sk-SK"/>
        </w:rPr>
        <w:t>a</w:t>
      </w:r>
      <w:r w:rsidR="00890020" w:rsidRPr="00890020">
        <w:rPr>
          <w:rFonts w:eastAsia="Times New Roman" w:cs="Times New Roman"/>
          <w:lang w:eastAsia="sk-SK"/>
        </w:rPr>
        <w:t>ní</w:t>
      </w:r>
      <w:r w:rsidR="00890020">
        <w:t xml:space="preserve">. </w:t>
      </w:r>
      <w:r w:rsidR="00234B98">
        <w:t>Kvô</w:t>
      </w:r>
      <w:r>
        <w:t>li vysok</w:t>
      </w:r>
      <w:r w:rsidR="00234B98">
        <w:t>ej</w:t>
      </w:r>
      <w:r>
        <w:t xml:space="preserve"> teplot</w:t>
      </w:r>
      <w:r w:rsidR="00234B98">
        <w:t>e</w:t>
      </w:r>
      <w:r>
        <w:t xml:space="preserve"> s</w:t>
      </w:r>
      <w:r w:rsidR="00234B98">
        <w:t>a</w:t>
      </w:r>
      <w:r>
        <w:t xml:space="preserve"> </w:t>
      </w:r>
      <w:r w:rsidR="00234B98">
        <w:t>následne</w:t>
      </w:r>
      <w:r>
        <w:t xml:space="preserve"> m</w:t>
      </w:r>
      <w:r w:rsidR="00234B98">
        <w:t>ôž</w:t>
      </w:r>
      <w:r>
        <w:t>u vzn</w:t>
      </w:r>
      <w:r w:rsidR="00234B98">
        <w:t>ietiť</w:t>
      </w:r>
      <w:r>
        <w:t xml:space="preserve"> </w:t>
      </w:r>
      <w:r w:rsidR="00234B98">
        <w:t>ď</w:t>
      </w:r>
      <w:r>
        <w:t>alš</w:t>
      </w:r>
      <w:r w:rsidR="00234B98">
        <w:t>ie</w:t>
      </w:r>
      <w:r>
        <w:t xml:space="preserve"> ho</w:t>
      </w:r>
      <w:r w:rsidR="00234B98">
        <w:t>rľ</w:t>
      </w:r>
      <w:r>
        <w:t>avé látky v blízkosti komína, t</w:t>
      </w:r>
      <w:r w:rsidR="00F83FFF">
        <w:t>e</w:t>
      </w:r>
      <w:r>
        <w:t>leso komína m</w:t>
      </w:r>
      <w:r w:rsidR="00F83FFF">
        <w:t>ô</w:t>
      </w:r>
      <w:r>
        <w:t>že praskn</w:t>
      </w:r>
      <w:r w:rsidR="00F83FFF">
        <w:t>úť</w:t>
      </w:r>
      <w:r>
        <w:t xml:space="preserve">, </w:t>
      </w:r>
      <w:r w:rsidR="00F83FFF">
        <w:t>pričom nemusí vzniknúť</w:t>
      </w:r>
      <w:r>
        <w:t xml:space="preserve"> pož</w:t>
      </w:r>
      <w:r w:rsidR="00F83FFF">
        <w:t>ia</w:t>
      </w:r>
      <w:r>
        <w:t xml:space="preserve">r, </w:t>
      </w:r>
      <w:r w:rsidR="00F83FFF">
        <w:t>no spaliny môž</w:t>
      </w:r>
      <w:r>
        <w:t>u ni</w:t>
      </w:r>
      <w:r w:rsidR="00F83FFF">
        <w:t>č</w:t>
      </w:r>
      <w:r>
        <w:t xml:space="preserve"> netuš</w:t>
      </w:r>
      <w:r w:rsidR="00F83FFF">
        <w:t>iacich</w:t>
      </w:r>
      <w:r>
        <w:t xml:space="preserve"> </w:t>
      </w:r>
      <w:r w:rsidR="00F83FFF">
        <w:t>obyvateľov</w:t>
      </w:r>
      <w:r>
        <w:t xml:space="preserve"> otrávi</w:t>
      </w:r>
      <w:r w:rsidR="00F83FFF">
        <w:t>ť</w:t>
      </w:r>
      <w:r>
        <w:t xml:space="preserve">. </w:t>
      </w:r>
    </w:p>
    <w:p w:rsidR="00D52C0A" w:rsidRDefault="00D52C0A" w:rsidP="00D52C0A">
      <w:pPr>
        <w:pStyle w:val="Odsekzoznamu"/>
      </w:pPr>
    </w:p>
    <w:p w:rsidR="00D52C0A" w:rsidRPr="00277B69" w:rsidRDefault="00D52C0A" w:rsidP="00277B69">
      <w:pPr>
        <w:pStyle w:val="Odsekzoznamu"/>
        <w:numPr>
          <w:ilvl w:val="0"/>
          <w:numId w:val="11"/>
        </w:numPr>
        <w:spacing w:before="100" w:beforeAutospacing="1" w:after="100" w:afterAutospacing="1" w:line="240" w:lineRule="auto"/>
        <w:rPr>
          <w:rFonts w:eastAsia="Times New Roman" w:cs="Times New Roman"/>
          <w:lang w:eastAsia="sk-SK"/>
        </w:rPr>
      </w:pPr>
      <w:r w:rsidRPr="00277B69">
        <w:rPr>
          <w:rFonts w:eastAsia="Times New Roman" w:cs="Times New Roman"/>
          <w:lang w:eastAsia="sk-SK"/>
        </w:rPr>
        <w:t>Medzi najčastejšie príčiny vzniku takýchto požiarov patrí:</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nesprávn</w:t>
      </w:r>
      <w:r>
        <w:rPr>
          <w:rFonts w:eastAsia="Times New Roman" w:cs="Times New Roman"/>
          <w:lang w:eastAsia="sk-SK"/>
        </w:rPr>
        <w:t>a</w:t>
      </w:r>
      <w:r w:rsidRPr="00D52C0A">
        <w:rPr>
          <w:rFonts w:eastAsia="Times New Roman" w:cs="Times New Roman"/>
          <w:lang w:eastAsia="sk-SK"/>
        </w:rPr>
        <w:t xml:space="preserve"> obsluha </w:t>
      </w:r>
      <w:r w:rsidR="00277B69">
        <w:rPr>
          <w:rFonts w:eastAsia="Times New Roman" w:cs="Times New Roman"/>
          <w:lang w:eastAsia="sk-SK"/>
        </w:rPr>
        <w:t>palivového spotrebiča</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manipul</w:t>
      </w:r>
      <w:r w:rsidR="00277B69">
        <w:rPr>
          <w:rFonts w:eastAsia="Times New Roman" w:cs="Times New Roman"/>
          <w:lang w:eastAsia="sk-SK"/>
        </w:rPr>
        <w:t>ácia</w:t>
      </w:r>
      <w:r w:rsidRPr="00D52C0A">
        <w:rPr>
          <w:rFonts w:eastAsia="Times New Roman" w:cs="Times New Roman"/>
          <w:lang w:eastAsia="sk-SK"/>
        </w:rPr>
        <w:t xml:space="preserve"> s</w:t>
      </w:r>
      <w:r w:rsidR="00277B69">
        <w:rPr>
          <w:rFonts w:eastAsia="Times New Roman" w:cs="Times New Roman"/>
          <w:lang w:eastAsia="sk-SK"/>
        </w:rPr>
        <w:t>o žeravým popolom</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um</w:t>
      </w:r>
      <w:r w:rsidR="00277B69">
        <w:rPr>
          <w:rFonts w:eastAsia="Times New Roman" w:cs="Times New Roman"/>
          <w:lang w:eastAsia="sk-SK"/>
        </w:rPr>
        <w:t>ie</w:t>
      </w:r>
      <w:r w:rsidRPr="00D52C0A">
        <w:rPr>
          <w:rFonts w:eastAsia="Times New Roman" w:cs="Times New Roman"/>
          <w:lang w:eastAsia="sk-SK"/>
        </w:rPr>
        <w:t>stn</w:t>
      </w:r>
      <w:r w:rsidR="00277B69">
        <w:rPr>
          <w:rFonts w:eastAsia="Times New Roman" w:cs="Times New Roman"/>
          <w:lang w:eastAsia="sk-SK"/>
        </w:rPr>
        <w:t>enie</w:t>
      </w:r>
      <w:r w:rsidRPr="00D52C0A">
        <w:rPr>
          <w:rFonts w:eastAsia="Times New Roman" w:cs="Times New Roman"/>
          <w:lang w:eastAsia="sk-SK"/>
        </w:rPr>
        <w:t xml:space="preserve"> ho</w:t>
      </w:r>
      <w:r w:rsidR="00277B69">
        <w:rPr>
          <w:rFonts w:eastAsia="Times New Roman" w:cs="Times New Roman"/>
          <w:lang w:eastAsia="sk-SK"/>
        </w:rPr>
        <w:t>rľ</w:t>
      </w:r>
      <w:r w:rsidRPr="00D52C0A">
        <w:rPr>
          <w:rFonts w:eastAsia="Times New Roman" w:cs="Times New Roman"/>
          <w:lang w:eastAsia="sk-SK"/>
        </w:rPr>
        <w:t>avých lát</w:t>
      </w:r>
      <w:r w:rsidR="00277B69">
        <w:rPr>
          <w:rFonts w:eastAsia="Times New Roman" w:cs="Times New Roman"/>
          <w:lang w:eastAsia="sk-SK"/>
        </w:rPr>
        <w:t>o</w:t>
      </w:r>
      <w:r w:rsidRPr="00D52C0A">
        <w:rPr>
          <w:rFonts w:eastAsia="Times New Roman" w:cs="Times New Roman"/>
          <w:lang w:eastAsia="sk-SK"/>
        </w:rPr>
        <w:t>k v</w:t>
      </w:r>
      <w:r w:rsidR="00277B69">
        <w:rPr>
          <w:rFonts w:eastAsia="Times New Roman" w:cs="Times New Roman"/>
          <w:lang w:eastAsia="sk-SK"/>
        </w:rPr>
        <w:t> </w:t>
      </w:r>
      <w:r w:rsidRPr="00D52C0A">
        <w:rPr>
          <w:rFonts w:eastAsia="Times New Roman" w:cs="Times New Roman"/>
          <w:lang w:eastAsia="sk-SK"/>
        </w:rPr>
        <w:t>blízkosti</w:t>
      </w:r>
      <w:r w:rsidR="00277B69">
        <w:rPr>
          <w:rFonts w:eastAsia="Times New Roman" w:cs="Times New Roman"/>
          <w:lang w:eastAsia="sk-SK"/>
        </w:rPr>
        <w:t xml:space="preserve"> palivového spotrebiča</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 xml:space="preserve">špatné </w:t>
      </w:r>
      <w:r w:rsidR="00277B69">
        <w:rPr>
          <w:rFonts w:eastAsia="Times New Roman" w:cs="Times New Roman"/>
          <w:lang w:eastAsia="sk-SK"/>
        </w:rPr>
        <w:t>umiestnenie alebo inštalácia palivového spotrebiča</w:t>
      </w:r>
      <w:r w:rsidRPr="00D52C0A">
        <w:rPr>
          <w:rFonts w:eastAsia="Times New Roman" w:cs="Times New Roman"/>
          <w:lang w:eastAsia="sk-SK"/>
        </w:rPr>
        <w:t>,</w:t>
      </w:r>
    </w:p>
    <w:p w:rsidR="00D52C0A" w:rsidRPr="00D52C0A" w:rsidRDefault="00277B69" w:rsidP="00277B69">
      <w:pPr>
        <w:numPr>
          <w:ilvl w:val="0"/>
          <w:numId w:val="12"/>
        </w:numPr>
        <w:spacing w:before="100" w:beforeAutospacing="1" w:after="100" w:afterAutospacing="1" w:line="240" w:lineRule="auto"/>
        <w:ind w:left="993" w:hanging="284"/>
        <w:rPr>
          <w:rFonts w:eastAsia="Times New Roman" w:cs="Times New Roman"/>
          <w:lang w:eastAsia="sk-SK"/>
        </w:rPr>
      </w:pPr>
      <w:r>
        <w:rPr>
          <w:rFonts w:eastAsia="Times New Roman" w:cs="Times New Roman"/>
          <w:lang w:eastAsia="sk-SK"/>
        </w:rPr>
        <w:t>zamurovaná hrada v komíne</w:t>
      </w:r>
      <w:r w:rsidR="00D52C0A" w:rsidRPr="00D52C0A">
        <w:rPr>
          <w:rFonts w:eastAsia="Times New Roman" w:cs="Times New Roman"/>
          <w:lang w:eastAsia="sk-SK"/>
        </w:rPr>
        <w:t>.</w:t>
      </w:r>
    </w:p>
    <w:p w:rsidR="00277B69" w:rsidRPr="00277B69" w:rsidRDefault="00F83FFF" w:rsidP="00277B69">
      <w:pPr>
        <w:jc w:val="both"/>
        <w:rPr>
          <w:b/>
        </w:rPr>
      </w:pPr>
      <w:r w:rsidRPr="00277B69">
        <w:rPr>
          <w:b/>
        </w:rPr>
        <w:t>Čistenie komína</w:t>
      </w:r>
      <w:r w:rsidR="0028467D" w:rsidRPr="00277B69">
        <w:rPr>
          <w:b/>
        </w:rPr>
        <w:t xml:space="preserve"> a</w:t>
      </w:r>
      <w:r w:rsidR="00277B69">
        <w:rPr>
          <w:b/>
        </w:rPr>
        <w:t> </w:t>
      </w:r>
      <w:r w:rsidR="0028467D" w:rsidRPr="00277B69">
        <w:rPr>
          <w:b/>
        </w:rPr>
        <w:t>kontrol</w:t>
      </w:r>
      <w:r w:rsidR="00277B69">
        <w:rPr>
          <w:b/>
        </w:rPr>
        <w:t>a:</w:t>
      </w:r>
      <w:r w:rsidRPr="00277B69">
        <w:rPr>
          <w:b/>
        </w:rPr>
        <w:t xml:space="preserve">, </w:t>
      </w:r>
    </w:p>
    <w:p w:rsidR="0028467D" w:rsidRDefault="00F83FFF" w:rsidP="0028467D">
      <w:pPr>
        <w:pStyle w:val="Odsekzoznamu"/>
        <w:numPr>
          <w:ilvl w:val="0"/>
          <w:numId w:val="6"/>
        </w:numPr>
        <w:jc w:val="both"/>
      </w:pPr>
      <w:r>
        <w:t>mô</w:t>
      </w:r>
      <w:r w:rsidR="00E93EDA">
        <w:t xml:space="preserve">že </w:t>
      </w:r>
      <w:r>
        <w:t>vykonávať</w:t>
      </w:r>
      <w:r w:rsidR="00E93EDA">
        <w:t xml:space="preserve"> m</w:t>
      </w:r>
      <w:r>
        <w:t>aj</w:t>
      </w:r>
      <w:r w:rsidR="00E93EDA">
        <w:t>ite</w:t>
      </w:r>
      <w:r>
        <w:t>ľ</w:t>
      </w:r>
      <w:r w:rsidR="0028467D">
        <w:t xml:space="preserve"> alebo užívateľ</w:t>
      </w:r>
      <w:r w:rsidR="00E93EDA">
        <w:t xml:space="preserve"> domu sám</w:t>
      </w:r>
      <w:r>
        <w:t xml:space="preserve"> a to:</w:t>
      </w:r>
    </w:p>
    <w:p w:rsidR="0028467D" w:rsidRDefault="0028467D" w:rsidP="0028467D">
      <w:pPr>
        <w:pStyle w:val="Odsekzoznamu"/>
      </w:pPr>
    </w:p>
    <w:p w:rsidR="00F83FFF" w:rsidRDefault="00F83FFF" w:rsidP="0028467D">
      <w:pPr>
        <w:pStyle w:val="Odsekzoznamu"/>
        <w:numPr>
          <w:ilvl w:val="1"/>
          <w:numId w:val="3"/>
        </w:numPr>
        <w:autoSpaceDE w:val="0"/>
        <w:autoSpaceDN w:val="0"/>
        <w:adjustRightInd w:val="0"/>
        <w:spacing w:after="0" w:line="240" w:lineRule="auto"/>
        <w:ind w:left="993" w:hanging="284"/>
        <w:rPr>
          <w:rFonts w:ascii="ITCBookmanEE" w:hAnsi="ITCBookmanEE" w:cs="ITCBookmanEE"/>
          <w:sz w:val="19"/>
          <w:szCs w:val="19"/>
        </w:rPr>
      </w:pPr>
      <w:r w:rsidRPr="00F83FFF">
        <w:rPr>
          <w:rFonts w:ascii="ITCBookmanEE" w:hAnsi="ITCBookmanEE" w:cs="ITCBookmanEE"/>
          <w:sz w:val="19"/>
          <w:szCs w:val="19"/>
        </w:rPr>
        <w:t>ak sú na komínové teleso pripojené spotrebiče s</w:t>
      </w:r>
      <w:r>
        <w:rPr>
          <w:rFonts w:ascii="ITCBookmanEE" w:hAnsi="ITCBookmanEE" w:cs="ITCBookmanEE"/>
          <w:sz w:val="19"/>
          <w:szCs w:val="19"/>
        </w:rPr>
        <w:t> </w:t>
      </w:r>
      <w:r w:rsidRPr="00F83FFF">
        <w:rPr>
          <w:rFonts w:ascii="ITCBookmanEE" w:hAnsi="ITCBookmanEE" w:cs="ITCBookmanEE"/>
          <w:sz w:val="19"/>
          <w:szCs w:val="19"/>
        </w:rPr>
        <w:t>celkovým</w:t>
      </w:r>
      <w:r>
        <w:rPr>
          <w:rFonts w:ascii="ITCBookmanEE" w:hAnsi="ITCBookmanEE" w:cs="ITCBookmanEE"/>
          <w:sz w:val="19"/>
          <w:szCs w:val="19"/>
        </w:rPr>
        <w:t xml:space="preserve"> </w:t>
      </w:r>
      <w:r w:rsidRPr="00F83FFF">
        <w:rPr>
          <w:rFonts w:ascii="ITCBookmanEE" w:hAnsi="ITCBookmanEE" w:cs="ITCBookmanEE"/>
          <w:sz w:val="19"/>
          <w:szCs w:val="19"/>
        </w:rPr>
        <w:t>tepelným výkonom do 50 kW, raz za</w:t>
      </w:r>
    </w:p>
    <w:p w:rsidR="0028467D" w:rsidRPr="00F83FFF" w:rsidRDefault="0028467D" w:rsidP="00F83FFF">
      <w:pPr>
        <w:pStyle w:val="Odsekzoznamu"/>
        <w:autoSpaceDE w:val="0"/>
        <w:autoSpaceDN w:val="0"/>
        <w:adjustRightInd w:val="0"/>
        <w:spacing w:after="0" w:line="240" w:lineRule="auto"/>
        <w:rPr>
          <w:rFonts w:ascii="ITCBookmanEE" w:hAnsi="ITCBookmanEE" w:cs="ITCBookmanEE"/>
          <w:sz w:val="19"/>
          <w:szCs w:val="19"/>
        </w:rPr>
      </w:pPr>
    </w:p>
    <w:p w:rsidR="00F83FFF" w:rsidRPr="0028467D"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1. štyri mesiace, ak sú do komína pripojené spotrebiče</w:t>
      </w:r>
      <w:r>
        <w:rPr>
          <w:rFonts w:ascii="ITCBookmanEE" w:hAnsi="ITCBookmanEE" w:cs="ITCBookmanEE"/>
          <w:sz w:val="19"/>
          <w:szCs w:val="19"/>
        </w:rPr>
        <w:t xml:space="preserve"> </w:t>
      </w:r>
      <w:r w:rsidRPr="00F83FFF">
        <w:rPr>
          <w:rFonts w:ascii="ITCBookmanEE" w:hAnsi="ITCBookmanEE" w:cs="ITCBookmanEE"/>
          <w:sz w:val="19"/>
          <w:szCs w:val="19"/>
        </w:rPr>
        <w:t>na tuhé palivá alebo spotrebiče na kvapalné</w:t>
      </w:r>
      <w:r w:rsidR="0028467D">
        <w:rPr>
          <w:rFonts w:ascii="ITCBookmanEE" w:hAnsi="ITCBookmanEE" w:cs="ITCBookmanEE"/>
          <w:sz w:val="19"/>
          <w:szCs w:val="19"/>
        </w:rPr>
        <w:t xml:space="preserve"> </w:t>
      </w:r>
      <w:r w:rsidRPr="0028467D">
        <w:rPr>
          <w:rFonts w:ascii="ITCBookmanEE" w:hAnsi="ITCBookmanEE" w:cs="ITCBookmanEE"/>
          <w:sz w:val="19"/>
          <w:szCs w:val="19"/>
        </w:rPr>
        <w:t>palivá,</w:t>
      </w:r>
    </w:p>
    <w:p w:rsidR="00F83FFF" w:rsidRPr="00F83FFF"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2. šesť mesiacov, ak sú do komína pripojené spotrebiče</w:t>
      </w:r>
      <w:r>
        <w:rPr>
          <w:rFonts w:ascii="ITCBookmanEE" w:hAnsi="ITCBookmanEE" w:cs="ITCBookmanEE"/>
          <w:sz w:val="19"/>
          <w:szCs w:val="19"/>
        </w:rPr>
        <w:t xml:space="preserve"> </w:t>
      </w:r>
      <w:r w:rsidRPr="00F83FFF">
        <w:rPr>
          <w:rFonts w:ascii="ITCBookmanEE" w:hAnsi="ITCBookmanEE" w:cs="ITCBookmanEE"/>
          <w:sz w:val="19"/>
          <w:szCs w:val="19"/>
        </w:rPr>
        <w:t>na plynné palivá a ak ide o komín bez vložky,</w:t>
      </w:r>
    </w:p>
    <w:p w:rsidR="0028467D"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3. dvanásť mesiacov, ak sú do komína pripojené</w:t>
      </w:r>
      <w:r>
        <w:rPr>
          <w:rFonts w:ascii="ITCBookmanEE" w:hAnsi="ITCBookmanEE" w:cs="ITCBookmanEE"/>
          <w:sz w:val="19"/>
          <w:szCs w:val="19"/>
        </w:rPr>
        <w:t xml:space="preserve"> </w:t>
      </w:r>
      <w:r w:rsidRPr="00F83FFF">
        <w:rPr>
          <w:rFonts w:ascii="ITCBookmanEE" w:hAnsi="ITCBookmanEE" w:cs="ITCBookmanEE"/>
          <w:sz w:val="19"/>
          <w:szCs w:val="19"/>
        </w:rPr>
        <w:t>spotrebiče na plynné palivá a ak ide o</w:t>
      </w:r>
      <w:r w:rsidR="0028467D">
        <w:rPr>
          <w:rFonts w:ascii="ITCBookmanEE" w:hAnsi="ITCBookmanEE" w:cs="ITCBookmanEE"/>
          <w:sz w:val="19"/>
          <w:szCs w:val="19"/>
        </w:rPr>
        <w:t> </w:t>
      </w:r>
      <w:r w:rsidRPr="00F83FFF">
        <w:rPr>
          <w:rFonts w:ascii="ITCBookmanEE" w:hAnsi="ITCBookmanEE" w:cs="ITCBookmanEE"/>
          <w:sz w:val="19"/>
          <w:szCs w:val="19"/>
        </w:rPr>
        <w:t>komín</w:t>
      </w:r>
    </w:p>
    <w:p w:rsidR="00F83FFF" w:rsidRDefault="00F83FFF" w:rsidP="0028467D">
      <w:pPr>
        <w:pStyle w:val="Odsekzoznamu"/>
        <w:autoSpaceDE w:val="0"/>
        <w:autoSpaceDN w:val="0"/>
        <w:adjustRightInd w:val="0"/>
        <w:spacing w:after="0" w:line="240" w:lineRule="auto"/>
        <w:ind w:left="1134"/>
        <w:rPr>
          <w:rFonts w:ascii="ITCBookmanEE" w:hAnsi="ITCBookmanEE" w:cs="ITCBookmanEE"/>
          <w:sz w:val="19"/>
          <w:szCs w:val="19"/>
        </w:rPr>
      </w:pPr>
      <w:r w:rsidRPr="00F83FFF">
        <w:rPr>
          <w:rFonts w:ascii="ITCBookmanEE" w:hAnsi="ITCBookmanEE" w:cs="ITCBookmanEE"/>
          <w:sz w:val="19"/>
          <w:szCs w:val="19"/>
        </w:rPr>
        <w:t>s vložkou,</w:t>
      </w:r>
    </w:p>
    <w:p w:rsidR="0028467D" w:rsidRPr="00F83FFF" w:rsidRDefault="0028467D" w:rsidP="0028467D">
      <w:pPr>
        <w:pStyle w:val="Odsekzoznamu"/>
        <w:autoSpaceDE w:val="0"/>
        <w:autoSpaceDN w:val="0"/>
        <w:adjustRightInd w:val="0"/>
        <w:spacing w:after="0" w:line="240" w:lineRule="auto"/>
        <w:ind w:left="1134"/>
        <w:rPr>
          <w:rFonts w:ascii="ITCBookmanEE" w:hAnsi="ITCBookmanEE" w:cs="ITCBookmanEE"/>
          <w:sz w:val="19"/>
          <w:szCs w:val="19"/>
        </w:rPr>
      </w:pPr>
    </w:p>
    <w:p w:rsidR="00F83FFF" w:rsidRDefault="00F83FFF" w:rsidP="00277B69">
      <w:pPr>
        <w:pStyle w:val="Odsekzoznamu"/>
        <w:autoSpaceDE w:val="0"/>
        <w:autoSpaceDN w:val="0"/>
        <w:adjustRightInd w:val="0"/>
        <w:spacing w:after="0" w:line="240" w:lineRule="auto"/>
        <w:rPr>
          <w:rFonts w:ascii="ITCBookmanEE" w:hAnsi="ITCBookmanEE" w:cs="ITCBookmanEE"/>
          <w:sz w:val="19"/>
          <w:szCs w:val="19"/>
        </w:rPr>
      </w:pPr>
      <w:r w:rsidRPr="0028467D">
        <w:rPr>
          <w:rFonts w:ascii="ITCBookmanEE" w:hAnsi="ITCBookmanEE" w:cs="ITCBookmanEE"/>
          <w:sz w:val="19"/>
          <w:szCs w:val="19"/>
        </w:rPr>
        <w:t>b) ak sú na komínové teleso pripojené spotrebiče s</w:t>
      </w:r>
      <w:r w:rsidR="0028467D">
        <w:rPr>
          <w:rFonts w:ascii="ITCBookmanEE" w:hAnsi="ITCBookmanEE" w:cs="ITCBookmanEE"/>
          <w:sz w:val="19"/>
          <w:szCs w:val="19"/>
        </w:rPr>
        <w:t> </w:t>
      </w:r>
      <w:r w:rsidRPr="0028467D">
        <w:rPr>
          <w:rFonts w:ascii="ITCBookmanEE" w:hAnsi="ITCBookmanEE" w:cs="ITCBookmanEE"/>
          <w:sz w:val="19"/>
          <w:szCs w:val="19"/>
        </w:rPr>
        <w:t>celkovým</w:t>
      </w:r>
      <w:r w:rsidR="0028467D">
        <w:rPr>
          <w:rFonts w:ascii="ITCBookmanEE" w:hAnsi="ITCBookmanEE" w:cs="ITCBookmanEE"/>
          <w:sz w:val="19"/>
          <w:szCs w:val="19"/>
        </w:rPr>
        <w:t xml:space="preserve"> tepelným výkonom nad 50 kW, raz z</w:t>
      </w:r>
      <w:r w:rsidRPr="0028467D">
        <w:rPr>
          <w:rFonts w:ascii="ITCBookmanEE" w:hAnsi="ITCBookmanEE" w:cs="ITCBookmanEE"/>
          <w:sz w:val="19"/>
          <w:szCs w:val="19"/>
        </w:rPr>
        <w:t>a</w:t>
      </w:r>
    </w:p>
    <w:p w:rsidR="0028467D" w:rsidRPr="0028467D" w:rsidRDefault="0028467D" w:rsidP="0028467D">
      <w:pPr>
        <w:pStyle w:val="Odsekzoznamu"/>
        <w:autoSpaceDE w:val="0"/>
        <w:autoSpaceDN w:val="0"/>
        <w:adjustRightInd w:val="0"/>
        <w:spacing w:after="0" w:line="240" w:lineRule="auto"/>
        <w:rPr>
          <w:rFonts w:ascii="ITCBookmanEE" w:hAnsi="ITCBookmanEE" w:cs="ITCBookmanEE"/>
          <w:sz w:val="19"/>
          <w:szCs w:val="19"/>
        </w:rPr>
      </w:pPr>
    </w:p>
    <w:p w:rsidR="00F83FFF" w:rsidRPr="0028467D" w:rsidRDefault="00F83FFF" w:rsidP="0028467D">
      <w:pPr>
        <w:pStyle w:val="Odsekzoznamu"/>
        <w:numPr>
          <w:ilvl w:val="0"/>
          <w:numId w:val="8"/>
        </w:numPr>
        <w:autoSpaceDE w:val="0"/>
        <w:autoSpaceDN w:val="0"/>
        <w:adjustRightInd w:val="0"/>
        <w:spacing w:after="0" w:line="240" w:lineRule="auto"/>
        <w:ind w:left="1134"/>
        <w:rPr>
          <w:rFonts w:ascii="ITCBookmanEE" w:hAnsi="ITCBookmanEE" w:cs="ITCBookmanEE"/>
          <w:sz w:val="19"/>
          <w:szCs w:val="19"/>
        </w:rPr>
      </w:pPr>
      <w:r w:rsidRPr="0028467D">
        <w:rPr>
          <w:rFonts w:ascii="ITCBookmanEE" w:hAnsi="ITCBookmanEE" w:cs="ITCBookmanEE"/>
          <w:sz w:val="19"/>
          <w:szCs w:val="19"/>
        </w:rPr>
        <w:t>1. dva mesiace, ak sú do komína pripojené spotrebiče</w:t>
      </w:r>
      <w:r w:rsidR="0028467D">
        <w:rPr>
          <w:rFonts w:ascii="ITCBookmanEE" w:hAnsi="ITCBookmanEE" w:cs="ITCBookmanEE"/>
          <w:sz w:val="19"/>
          <w:szCs w:val="19"/>
        </w:rPr>
        <w:t xml:space="preserve"> </w:t>
      </w:r>
      <w:r w:rsidRPr="0028467D">
        <w:rPr>
          <w:rFonts w:ascii="ITCBookmanEE" w:hAnsi="ITCBookmanEE" w:cs="ITCBookmanEE"/>
          <w:sz w:val="19"/>
          <w:szCs w:val="19"/>
        </w:rPr>
        <w:t>na tuhé palivá alebo spotrebiče na kvapalné</w:t>
      </w:r>
    </w:p>
    <w:p w:rsidR="00F83FFF" w:rsidRPr="00F83FFF" w:rsidRDefault="00F83FFF" w:rsidP="0028467D">
      <w:pPr>
        <w:pStyle w:val="Odsekzoznamu"/>
        <w:autoSpaceDE w:val="0"/>
        <w:autoSpaceDN w:val="0"/>
        <w:adjustRightInd w:val="0"/>
        <w:spacing w:after="0" w:line="240" w:lineRule="auto"/>
        <w:ind w:left="1134"/>
        <w:rPr>
          <w:rFonts w:ascii="ITCBookmanEE" w:hAnsi="ITCBookmanEE" w:cs="ITCBookmanEE"/>
          <w:sz w:val="19"/>
          <w:szCs w:val="19"/>
        </w:rPr>
      </w:pPr>
      <w:r w:rsidRPr="00F83FFF">
        <w:rPr>
          <w:rFonts w:ascii="ITCBookmanEE" w:hAnsi="ITCBookmanEE" w:cs="ITCBookmanEE"/>
          <w:sz w:val="19"/>
          <w:szCs w:val="19"/>
        </w:rPr>
        <w:t>palivá,</w:t>
      </w:r>
    </w:p>
    <w:p w:rsidR="00E93EDA" w:rsidRDefault="00F83FFF" w:rsidP="0028467D">
      <w:pPr>
        <w:pStyle w:val="Odsekzoznamu"/>
        <w:numPr>
          <w:ilvl w:val="0"/>
          <w:numId w:val="8"/>
        </w:numPr>
        <w:autoSpaceDE w:val="0"/>
        <w:autoSpaceDN w:val="0"/>
        <w:adjustRightInd w:val="0"/>
        <w:spacing w:after="0" w:line="240" w:lineRule="auto"/>
        <w:ind w:left="1134"/>
        <w:jc w:val="both"/>
      </w:pPr>
      <w:r w:rsidRPr="0028467D">
        <w:rPr>
          <w:rFonts w:ascii="ITCBookmanEE" w:hAnsi="ITCBookmanEE" w:cs="ITCBookmanEE"/>
          <w:sz w:val="19"/>
          <w:szCs w:val="19"/>
        </w:rPr>
        <w:t>2. šesť mesiacov, ak sú do komína pripojené spotrebiče</w:t>
      </w:r>
      <w:r w:rsidR="0028467D">
        <w:rPr>
          <w:rFonts w:ascii="ITCBookmanEE" w:hAnsi="ITCBookmanEE" w:cs="ITCBookmanEE"/>
          <w:sz w:val="19"/>
          <w:szCs w:val="19"/>
        </w:rPr>
        <w:t xml:space="preserve"> </w:t>
      </w:r>
      <w:r w:rsidRPr="0028467D">
        <w:rPr>
          <w:rFonts w:ascii="ITCBookmanEE" w:hAnsi="ITCBookmanEE" w:cs="ITCBookmanEE"/>
          <w:sz w:val="19"/>
          <w:szCs w:val="19"/>
        </w:rPr>
        <w:t>n</w:t>
      </w:r>
      <w:r w:rsidR="0028467D">
        <w:rPr>
          <w:rFonts w:ascii="ITCBookmanEE" w:hAnsi="ITCBookmanEE" w:cs="ITCBookmanEE"/>
          <w:sz w:val="19"/>
          <w:szCs w:val="19"/>
        </w:rPr>
        <w:t>a plynné palivá</w:t>
      </w:r>
      <w:r w:rsidR="00E93EDA">
        <w:t>.</w:t>
      </w:r>
    </w:p>
    <w:p w:rsidR="00E93EDA" w:rsidRDefault="00E93EDA" w:rsidP="00E93EDA"/>
    <w:p w:rsidR="00E93EDA" w:rsidRDefault="0028467D" w:rsidP="0028467D">
      <w:pPr>
        <w:pStyle w:val="Odsekzoznamu"/>
        <w:numPr>
          <w:ilvl w:val="0"/>
          <w:numId w:val="6"/>
        </w:numPr>
      </w:pPr>
      <w:r>
        <w:t>Čistenie, kontrolu a preskúšanie komínov vykonávajú odborne spôsobilé osoby (kominári) nasledovne:</w:t>
      </w:r>
    </w:p>
    <w:p w:rsidR="0028467D" w:rsidRDefault="0028467D" w:rsidP="0082783F">
      <w:pPr>
        <w:pStyle w:val="Odsekzoznamu"/>
        <w:numPr>
          <w:ilvl w:val="0"/>
          <w:numId w:val="9"/>
        </w:numPr>
        <w:ind w:left="1134" w:hanging="425"/>
      </w:pPr>
      <w:r>
        <w:t>pred kolaudáciou stavby, ktorá má komínové teleso (nové komíny)</w:t>
      </w:r>
    </w:p>
    <w:p w:rsidR="0028467D" w:rsidRDefault="0028467D" w:rsidP="0082783F">
      <w:pPr>
        <w:pStyle w:val="Odsekzoznamu"/>
        <w:numPr>
          <w:ilvl w:val="0"/>
          <w:numId w:val="9"/>
        </w:numPr>
        <w:ind w:left="1134" w:hanging="425"/>
      </w:pPr>
      <w:r>
        <w:t>po vyvložkovaní komína</w:t>
      </w:r>
    </w:p>
    <w:p w:rsidR="0028467D" w:rsidRDefault="0028467D" w:rsidP="0082783F">
      <w:pPr>
        <w:pStyle w:val="Odsekzoznamu"/>
        <w:numPr>
          <w:ilvl w:val="0"/>
          <w:numId w:val="9"/>
        </w:numPr>
        <w:ind w:left="1134" w:hanging="425"/>
      </w:pPr>
      <w:r>
        <w:t>pri zmene palivového spotrebiča na iný druh paliva</w:t>
      </w:r>
    </w:p>
    <w:p w:rsidR="0028467D" w:rsidRDefault="0028467D" w:rsidP="0082783F">
      <w:pPr>
        <w:pStyle w:val="Odsekzoznamu"/>
        <w:numPr>
          <w:ilvl w:val="0"/>
          <w:numId w:val="9"/>
        </w:numPr>
        <w:ind w:left="1134" w:hanging="425"/>
      </w:pPr>
      <w:r>
        <w:t>po požiari</w:t>
      </w:r>
    </w:p>
    <w:p w:rsidR="0028467D" w:rsidRDefault="0028467D" w:rsidP="0028467D"/>
    <w:p w:rsidR="009C77BF" w:rsidRDefault="009C77BF" w:rsidP="0082783F">
      <w:pPr>
        <w:rPr>
          <w:b/>
        </w:rPr>
      </w:pPr>
    </w:p>
    <w:p w:rsidR="0082783F" w:rsidRDefault="0082783F" w:rsidP="0082783F">
      <w:pPr>
        <w:rPr>
          <w:b/>
        </w:rPr>
      </w:pPr>
      <w:r>
        <w:rPr>
          <w:b/>
        </w:rPr>
        <w:t>3</w:t>
      </w:r>
      <w:r w:rsidRPr="0001626B">
        <w:rPr>
          <w:b/>
        </w:rPr>
        <w:t xml:space="preserve">) </w:t>
      </w:r>
      <w:r>
        <w:rPr>
          <w:b/>
        </w:rPr>
        <w:t>Hasenie horiacich komínov</w:t>
      </w:r>
      <w:r w:rsidRPr="0001626B">
        <w:rPr>
          <w:b/>
        </w:rPr>
        <w:t>:</w:t>
      </w:r>
    </w:p>
    <w:p w:rsidR="00E93EDA" w:rsidRDefault="00E93EDA" w:rsidP="0082783F">
      <w:pPr>
        <w:jc w:val="both"/>
      </w:pPr>
      <w:r>
        <w:lastRenderedPageBreak/>
        <w:t>P</w:t>
      </w:r>
      <w:r w:rsidR="0082783F">
        <w:t>r</w:t>
      </w:r>
      <w:r>
        <w:t>i sna</w:t>
      </w:r>
      <w:r w:rsidR="0082783F">
        <w:t>h</w:t>
      </w:r>
      <w:r>
        <w:t>e</w:t>
      </w:r>
      <w:r w:rsidR="0082783F">
        <w:t xml:space="preserve"> uhasiť požia</w:t>
      </w:r>
      <w:r>
        <w:t>r</w:t>
      </w:r>
      <w:r w:rsidR="0082783F">
        <w:t xml:space="preserve"> bez ochranných prostri</w:t>
      </w:r>
      <w:r>
        <w:t>edk</w:t>
      </w:r>
      <w:r w:rsidR="0082783F">
        <w:t>ov</w:t>
      </w:r>
      <w:r>
        <w:t xml:space="preserve"> m</w:t>
      </w:r>
      <w:r w:rsidR="0082783F">
        <w:t>ôže dôjsť k ťažkým</w:t>
      </w:r>
      <w:r>
        <w:t xml:space="preserve"> zran</w:t>
      </w:r>
      <w:r w:rsidR="0082783F">
        <w:t>eniam</w:t>
      </w:r>
      <w:r>
        <w:t>. P</w:t>
      </w:r>
      <w:r w:rsidR="0082783F">
        <w:t>r</w:t>
      </w:r>
      <w:r>
        <w:t>i ot</w:t>
      </w:r>
      <w:r w:rsidR="0082783F">
        <w:t>vor</w:t>
      </w:r>
      <w:r>
        <w:t>ení komínových dv</w:t>
      </w:r>
      <w:r w:rsidR="0082783F">
        <w:t>iero</w:t>
      </w:r>
      <w:r>
        <w:t xml:space="preserve">k hrozí </w:t>
      </w:r>
      <w:r w:rsidR="0082783F">
        <w:t>zosunutie horiaci</w:t>
      </w:r>
      <w:r>
        <w:t>ch sa</w:t>
      </w:r>
      <w:r w:rsidR="0082783F">
        <w:t>d</w:t>
      </w:r>
      <w:r>
        <w:t>zí do okol</w:t>
      </w:r>
      <w:r w:rsidR="0082783F">
        <w:t>ité</w:t>
      </w:r>
      <w:r>
        <w:t>ho pr</w:t>
      </w:r>
      <w:r w:rsidR="0082783F">
        <w:t>ie</w:t>
      </w:r>
      <w:r>
        <w:t>storu, p</w:t>
      </w:r>
      <w:r w:rsidR="0082783F">
        <w:t>r</w:t>
      </w:r>
      <w:r>
        <w:t>i práci na st</w:t>
      </w:r>
      <w:r w:rsidR="0082783F">
        <w:t>rech</w:t>
      </w:r>
      <w:r w:rsidR="009C77BF">
        <w:t>e zase hrozí r</w:t>
      </w:r>
      <w:r>
        <w:t>iziko úrazu popálen</w:t>
      </w:r>
      <w:r w:rsidR="0082783F">
        <w:t>ia</w:t>
      </w:r>
      <w:r>
        <w:t xml:space="preserve"> od vyl</w:t>
      </w:r>
      <w:r w:rsidR="0082783F">
        <w:t>etujúcich</w:t>
      </w:r>
      <w:r>
        <w:t xml:space="preserve"> isk</w:t>
      </w:r>
      <w:r w:rsidR="0082783F">
        <w:t>i</w:t>
      </w:r>
      <w:r>
        <w:t>er.</w:t>
      </w:r>
    </w:p>
    <w:p w:rsidR="009C77BF" w:rsidRDefault="009C77BF" w:rsidP="009C77BF">
      <w:pPr>
        <w:jc w:val="both"/>
      </w:pPr>
      <w:r>
        <w:t xml:space="preserve">Horiace sadze je možné hasiť len suchým pieskom, pretože pri použití vody by sa mohol komín roztrhnúť. Voda nastriekaná, či naliata do rozpáleného komínového telesa sa mení na paru, ktorá zväčšuje svoj </w:t>
      </w:r>
      <w:r w:rsidRPr="00890020">
        <w:t>objem</w:t>
      </w:r>
      <w:r w:rsidRPr="00890020">
        <w:rPr>
          <w:rFonts w:eastAsia="Times New Roman" w:cs="Times New Roman"/>
          <w:lang w:eastAsia="sk-SK"/>
        </w:rPr>
        <w:t xml:space="preserve"> až 1700</w:t>
      </w:r>
      <w:r>
        <w:rPr>
          <w:rFonts w:eastAsia="Times New Roman" w:cs="Times New Roman"/>
          <w:lang w:eastAsia="sk-SK"/>
        </w:rPr>
        <w:t xml:space="preserve"> </w:t>
      </w:r>
      <w:r w:rsidRPr="00890020">
        <w:rPr>
          <w:rFonts w:eastAsia="Times New Roman" w:cs="Times New Roman"/>
          <w:lang w:eastAsia="sk-SK"/>
        </w:rPr>
        <w:t>krát</w:t>
      </w:r>
      <w:r w:rsidRPr="00C45B9C">
        <w:rPr>
          <w:rFonts w:ascii="Times New Roman" w:eastAsia="Times New Roman" w:hAnsi="Times New Roman" w:cs="Times New Roman"/>
          <w:sz w:val="24"/>
          <w:szCs w:val="24"/>
          <w:lang w:eastAsia="sk-SK"/>
        </w:rPr>
        <w:t xml:space="preserve"> </w:t>
      </w:r>
      <w:r>
        <w:t xml:space="preserve"> a keďže v obmedzenom priestore komínového telesa nemá kam uniknúť, dôjde k výbuchu a popraskaniu muriva. Vždy je vhodné volať hasičov a požiar sadzí nepodceňovať. </w:t>
      </w:r>
    </w:p>
    <w:p w:rsidR="009C77BF" w:rsidRDefault="009C77BF" w:rsidP="0082783F">
      <w:pPr>
        <w:jc w:val="both"/>
      </w:pPr>
    </w:p>
    <w:p w:rsidR="0065674E" w:rsidRDefault="0065674E" w:rsidP="0065674E">
      <w:pPr>
        <w:tabs>
          <w:tab w:val="left" w:pos="720"/>
        </w:tabs>
        <w:jc w:val="both"/>
      </w:pPr>
      <w:r>
        <w:t>Každoročne vznikne niekoľko požiarov vo vykurovacom období, ktorých príčina je nevhodné osadenie spotrebiča na tuhé palivo a nedodržanie bezpečných vzdialeností od horľavých látok.</w:t>
      </w:r>
    </w:p>
    <w:p w:rsidR="0065674E" w:rsidRDefault="0065674E" w:rsidP="009C77BF">
      <w:pPr>
        <w:tabs>
          <w:tab w:val="left" w:pos="720"/>
        </w:tabs>
        <w:ind w:left="708"/>
        <w:jc w:val="both"/>
      </w:pPr>
    </w:p>
    <w:p w:rsidR="009C77BF" w:rsidRDefault="009C77BF" w:rsidP="009C77BF">
      <w:pPr>
        <w:tabs>
          <w:tab w:val="left" w:pos="0"/>
        </w:tabs>
        <w:jc w:val="both"/>
      </w:pPr>
      <w:r>
        <w:t xml:space="preserve">V mene Okresného riaditeľstva Hasičského a záchranného zboru v Leviciach Vás týmto vyzývame k obozretnosti a zodpovednosti pred nastávajúcou vykurovacou sezónou. </w:t>
      </w:r>
    </w:p>
    <w:p w:rsidR="00D52C0A" w:rsidRDefault="00D52C0A" w:rsidP="00C45B9C">
      <w:pPr>
        <w:spacing w:before="100" w:beforeAutospacing="1" w:after="100" w:afterAutospacing="1" w:line="240" w:lineRule="auto"/>
        <w:rPr>
          <w:rFonts w:ascii="Times New Roman" w:eastAsia="Times New Roman" w:hAnsi="Times New Roman" w:cs="Times New Roman"/>
          <w:sz w:val="24"/>
          <w:szCs w:val="24"/>
          <w:lang w:eastAsia="sk-SK"/>
        </w:rPr>
      </w:pPr>
    </w:p>
    <w:p w:rsidR="00277B69" w:rsidRDefault="00277B69" w:rsidP="00C45B9C">
      <w:pPr>
        <w:spacing w:before="100" w:beforeAutospacing="1" w:after="100" w:afterAutospacing="1" w:line="240" w:lineRule="auto"/>
        <w:rPr>
          <w:rFonts w:ascii="Times New Roman" w:eastAsia="Times New Roman" w:hAnsi="Times New Roman" w:cs="Times New Roman"/>
          <w:sz w:val="24"/>
          <w:szCs w:val="24"/>
          <w:lang w:eastAsia="sk-SK"/>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C45B9C" w:rsidRDefault="00C45B9C" w:rsidP="00E93EDA"/>
    <w:sectPr w:rsidR="00C45B9C" w:rsidSect="0028467D">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TCBookmanEE">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707CE"/>
    <w:multiLevelType w:val="multilevel"/>
    <w:tmpl w:val="240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67B4B"/>
    <w:multiLevelType w:val="multilevel"/>
    <w:tmpl w:val="64CE8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461D5"/>
    <w:multiLevelType w:val="hybridMultilevel"/>
    <w:tmpl w:val="D4BCB2A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C12C88"/>
    <w:multiLevelType w:val="hybridMultilevel"/>
    <w:tmpl w:val="56C075C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B0353C"/>
    <w:multiLevelType w:val="hybridMultilevel"/>
    <w:tmpl w:val="DAF8EBD8"/>
    <w:lvl w:ilvl="0" w:tplc="5BF8B5E6">
      <w:numFmt w:val="bullet"/>
      <w:lvlText w:val="-"/>
      <w:lvlJc w:val="left"/>
      <w:pPr>
        <w:tabs>
          <w:tab w:val="num" w:pos="1068"/>
        </w:tabs>
        <w:ind w:left="1068" w:hanging="360"/>
      </w:pPr>
      <w:rPr>
        <w:rFonts w:ascii="Times New Roman" w:eastAsia="Times New Roman" w:hAnsi="Times New Roman" w:cs="Times New Roman" w:hint="default"/>
      </w:rPr>
    </w:lvl>
    <w:lvl w:ilvl="1" w:tplc="041B0003">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AD24B11"/>
    <w:multiLevelType w:val="hybridMultilevel"/>
    <w:tmpl w:val="26DAC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042137"/>
    <w:multiLevelType w:val="multilevel"/>
    <w:tmpl w:val="C78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A431B"/>
    <w:multiLevelType w:val="hybridMultilevel"/>
    <w:tmpl w:val="5F885CF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D0214A7"/>
    <w:multiLevelType w:val="multilevel"/>
    <w:tmpl w:val="C4568B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50465"/>
    <w:multiLevelType w:val="hybridMultilevel"/>
    <w:tmpl w:val="7348F60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0971C86"/>
    <w:multiLevelType w:val="multilevel"/>
    <w:tmpl w:val="0020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5654A"/>
    <w:multiLevelType w:val="hybridMultilevel"/>
    <w:tmpl w:val="C05E5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C466F92"/>
    <w:multiLevelType w:val="multilevel"/>
    <w:tmpl w:val="209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0"/>
  </w:num>
  <w:num w:numId="5">
    <w:abstractNumId w:val="6"/>
  </w:num>
  <w:num w:numId="6">
    <w:abstractNumId w:val="11"/>
  </w:num>
  <w:num w:numId="7">
    <w:abstractNumId w:val="9"/>
  </w:num>
  <w:num w:numId="8">
    <w:abstractNumId w:val="2"/>
  </w:num>
  <w:num w:numId="9">
    <w:abstractNumId w:val="3"/>
  </w:num>
  <w:num w:numId="10">
    <w:abstractNumId w:val="1"/>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53"/>
    <w:rsid w:val="0001626B"/>
    <w:rsid w:val="0007787D"/>
    <w:rsid w:val="001608B7"/>
    <w:rsid w:val="001A6BC6"/>
    <w:rsid w:val="001D3539"/>
    <w:rsid w:val="001F7CC3"/>
    <w:rsid w:val="00234B98"/>
    <w:rsid w:val="00277B69"/>
    <w:rsid w:val="0028467D"/>
    <w:rsid w:val="003D60C1"/>
    <w:rsid w:val="00486C2E"/>
    <w:rsid w:val="00584FC0"/>
    <w:rsid w:val="00594E5C"/>
    <w:rsid w:val="005A110C"/>
    <w:rsid w:val="0062523E"/>
    <w:rsid w:val="0065674E"/>
    <w:rsid w:val="006C549A"/>
    <w:rsid w:val="007C1653"/>
    <w:rsid w:val="0082783F"/>
    <w:rsid w:val="00890020"/>
    <w:rsid w:val="00967F37"/>
    <w:rsid w:val="009C77BF"/>
    <w:rsid w:val="00AD2FAB"/>
    <w:rsid w:val="00AF3FE2"/>
    <w:rsid w:val="00B00367"/>
    <w:rsid w:val="00C45B9C"/>
    <w:rsid w:val="00C52A46"/>
    <w:rsid w:val="00D52C0A"/>
    <w:rsid w:val="00E93EDA"/>
    <w:rsid w:val="00F5294A"/>
    <w:rsid w:val="00F83F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57D190-8065-48F3-8589-1492CFF1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45B9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bmargin">
    <w:name w:val="nobmargin"/>
    <w:basedOn w:val="Normlny"/>
    <w:rsid w:val="00C45B9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F3FE2"/>
    <w:rPr>
      <w:i/>
      <w:iCs/>
    </w:rPr>
  </w:style>
  <w:style w:type="paragraph" w:styleId="Odsekzoznamu">
    <w:name w:val="List Paragraph"/>
    <w:basedOn w:val="Normlny"/>
    <w:uiPriority w:val="34"/>
    <w:qFormat/>
    <w:rsid w:val="00AF3FE2"/>
    <w:pPr>
      <w:ind w:left="720"/>
      <w:contextualSpacing/>
    </w:pPr>
  </w:style>
  <w:style w:type="paragraph" w:customStyle="1" w:styleId="Default">
    <w:name w:val="Default"/>
    <w:rsid w:val="00AD2F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936432">
      <w:bodyDiv w:val="1"/>
      <w:marLeft w:val="0"/>
      <w:marRight w:val="0"/>
      <w:marTop w:val="0"/>
      <w:marBottom w:val="0"/>
      <w:divBdr>
        <w:top w:val="none" w:sz="0" w:space="0" w:color="auto"/>
        <w:left w:val="none" w:sz="0" w:space="0" w:color="auto"/>
        <w:bottom w:val="none" w:sz="0" w:space="0" w:color="auto"/>
        <w:right w:val="none" w:sz="0" w:space="0" w:color="auto"/>
      </w:divBdr>
    </w:div>
    <w:div w:id="1049501017">
      <w:bodyDiv w:val="1"/>
      <w:marLeft w:val="0"/>
      <w:marRight w:val="0"/>
      <w:marTop w:val="0"/>
      <w:marBottom w:val="0"/>
      <w:divBdr>
        <w:top w:val="none" w:sz="0" w:space="0" w:color="auto"/>
        <w:left w:val="none" w:sz="0" w:space="0" w:color="auto"/>
        <w:bottom w:val="none" w:sz="0" w:space="0" w:color="auto"/>
        <w:right w:val="none" w:sz="0" w:space="0" w:color="auto"/>
      </w:divBdr>
    </w:div>
    <w:div w:id="1214343390">
      <w:bodyDiv w:val="1"/>
      <w:marLeft w:val="0"/>
      <w:marRight w:val="0"/>
      <w:marTop w:val="0"/>
      <w:marBottom w:val="0"/>
      <w:divBdr>
        <w:top w:val="none" w:sz="0" w:space="0" w:color="auto"/>
        <w:left w:val="none" w:sz="0" w:space="0" w:color="auto"/>
        <w:bottom w:val="none" w:sz="0" w:space="0" w:color="auto"/>
        <w:right w:val="none" w:sz="0" w:space="0" w:color="auto"/>
      </w:divBdr>
    </w:div>
    <w:div w:id="19850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835</Words>
  <Characters>4762</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Mihók</dc:creator>
  <cp:keywords/>
  <dc:description/>
  <cp:lastModifiedBy>JANČÍKOVÁ Aneta</cp:lastModifiedBy>
  <cp:revision>2</cp:revision>
  <dcterms:created xsi:type="dcterms:W3CDTF">2024-11-06T09:03:00Z</dcterms:created>
  <dcterms:modified xsi:type="dcterms:W3CDTF">2024-11-06T09:03:00Z</dcterms:modified>
</cp:coreProperties>
</file>