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EE" w:rsidRPr="00C17748" w:rsidRDefault="00C17748">
      <w:pPr>
        <w:pStyle w:val="Zkladntext"/>
        <w:ind w:left="98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C17748">
        <w:rPr>
          <w:rFonts w:asciiTheme="minorHAnsi" w:hAnsiTheme="minorHAnsi" w:cstheme="minorHAnsi"/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367748</wp:posOffset>
                </wp:positionH>
                <wp:positionV relativeFrom="paragraph">
                  <wp:posOffset>9939</wp:posOffset>
                </wp:positionV>
                <wp:extent cx="5905500" cy="1073426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73426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3EEE" w:rsidRPr="00C17748" w:rsidRDefault="00C17748">
                            <w:pPr>
                              <w:spacing w:before="1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6"/>
                              </w:rPr>
                            </w:pPr>
                            <w:r w:rsidRPr="00C17748">
                              <w:rPr>
                                <w:rFonts w:asciiTheme="minorHAnsi" w:hAnsiTheme="minorHAnsi" w:cstheme="minorHAnsi"/>
                                <w:color w:val="C00000"/>
                                <w:spacing w:val="-140"/>
                                <w:w w:val="99"/>
                                <w:sz w:val="56"/>
                                <w:u w:val="thick" w:color="C00000"/>
                              </w:rPr>
                              <w:t xml:space="preserve"> </w:t>
                            </w:r>
                            <w:r w:rsidRPr="00C17748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56"/>
                                <w:u w:color="C00000"/>
                              </w:rPr>
                              <w:t xml:space="preserve">Inflačná pomoc II. </w:t>
                            </w:r>
                          </w:p>
                          <w:p w:rsidR="00373EEE" w:rsidRPr="00346F93" w:rsidRDefault="00C17748">
                            <w:pPr>
                              <w:spacing w:before="28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52"/>
                              </w:rPr>
                            </w:pPr>
                            <w:r w:rsidRPr="00C17748">
                              <w:rPr>
                                <w:rFonts w:asciiTheme="minorHAnsi" w:hAnsiTheme="minorHAnsi" w:cstheme="minorHAnsi"/>
                                <w:color w:val="C00000"/>
                                <w:spacing w:val="-110"/>
                                <w:w w:val="99"/>
                                <w:sz w:val="44"/>
                                <w:u w:val="thick" w:color="C00000"/>
                              </w:rPr>
                              <w:t xml:space="preserve"> </w:t>
                            </w:r>
                            <w:r w:rsidRPr="00346F93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52"/>
                              </w:rPr>
                              <w:t>Kto má na ňu nárok a ako o ňu požiadať?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.8pt;width:465pt;height:84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" filled="f" strokeweight=".48pt">
                <v:textbox inset="0,0,0,0">
                  <w:txbxContent>
                    <w:p w:rsidR="00373EEE" w:rsidRPr="00C17748" w:rsidRDefault="00C17748">
                      <w:pPr>
                        <w:spacing w:before="17"/>
                        <w:jc w:val="center"/>
                        <w:rPr>
                          <w:rFonts w:asciiTheme="minorHAnsi" w:hAnsiTheme="minorHAnsi" w:cstheme="minorHAnsi"/>
                          <w:b/>
                          <w:sz w:val="56"/>
                        </w:rPr>
                      </w:pPr>
                      <w:r w:rsidRPr="00C17748">
                        <w:rPr>
                          <w:rFonts w:asciiTheme="minorHAnsi" w:hAnsiTheme="minorHAnsi" w:cstheme="minorHAnsi"/>
                          <w:color w:val="C00000"/>
                          <w:spacing w:val="-140"/>
                          <w:w w:val="99"/>
                          <w:sz w:val="56"/>
                          <w:u w:val="thick" w:color="C00000"/>
                        </w:rPr>
                        <w:t xml:space="preserve"> </w:t>
                      </w:r>
                      <w:r w:rsidRPr="00C17748">
                        <w:rPr>
                          <w:rFonts w:asciiTheme="minorHAnsi" w:hAnsiTheme="minorHAnsi" w:cstheme="minorHAnsi"/>
                          <w:b/>
                          <w:color w:val="C00000"/>
                          <w:sz w:val="56"/>
                          <w:u w:color="C00000"/>
                        </w:rPr>
                        <w:t xml:space="preserve">Inflačná pomoc II. </w:t>
                      </w:r>
                    </w:p>
                    <w:p w:rsidR="00373EEE" w:rsidRPr="00346F93" w:rsidRDefault="00C17748">
                      <w:pPr>
                        <w:spacing w:before="285"/>
                        <w:jc w:val="center"/>
                        <w:rPr>
                          <w:rFonts w:asciiTheme="minorHAnsi" w:hAnsiTheme="minorHAnsi" w:cstheme="minorHAnsi"/>
                          <w:b/>
                          <w:sz w:val="52"/>
                        </w:rPr>
                      </w:pPr>
                      <w:r w:rsidRPr="00C17748">
                        <w:rPr>
                          <w:rFonts w:asciiTheme="minorHAnsi" w:hAnsiTheme="minorHAnsi" w:cstheme="minorHAnsi"/>
                          <w:color w:val="C00000"/>
                          <w:spacing w:val="-110"/>
                          <w:w w:val="99"/>
                          <w:sz w:val="44"/>
                          <w:u w:val="thick" w:color="C00000"/>
                        </w:rPr>
                        <w:t xml:space="preserve"> </w:t>
                      </w:r>
                      <w:r w:rsidRPr="00346F93">
                        <w:rPr>
                          <w:rFonts w:asciiTheme="minorHAnsi" w:hAnsiTheme="minorHAnsi" w:cstheme="minorHAnsi"/>
                          <w:b/>
                          <w:color w:val="C00000"/>
                          <w:sz w:val="52"/>
                        </w:rPr>
                        <w:t>Kto má na ňu nárok a ako o ňu požiadať?</w:t>
                      </w:r>
                    </w:p>
                  </w:txbxContent>
                </v:textbox>
              </v:shape>
            </w:pict>
          </mc:Fallback>
        </mc:AlternateContent>
      </w:r>
    </w:p>
    <w:p w:rsidR="00373EEE" w:rsidRPr="00C17748" w:rsidRDefault="00373EEE">
      <w:pPr>
        <w:pStyle w:val="Zkladntext"/>
        <w:spacing w:before="6"/>
        <w:rPr>
          <w:rFonts w:asciiTheme="minorHAnsi" w:hAnsiTheme="minorHAnsi" w:cstheme="minorHAnsi"/>
          <w:sz w:val="14"/>
        </w:rPr>
      </w:pPr>
    </w:p>
    <w:p w:rsidR="00C17748" w:rsidRDefault="00C17748" w:rsidP="00C17748">
      <w:pPr>
        <w:pStyle w:val="Zkladntext"/>
        <w:ind w:left="216" w:right="381"/>
        <w:rPr>
          <w:rFonts w:asciiTheme="minorHAnsi" w:hAnsiTheme="minorHAnsi" w:cstheme="minorHAnsi"/>
          <w:sz w:val="28"/>
        </w:rPr>
      </w:pPr>
    </w:p>
    <w:p w:rsidR="00C17748" w:rsidRDefault="00C17748" w:rsidP="00C17748">
      <w:pPr>
        <w:pStyle w:val="Zkladntext"/>
        <w:ind w:left="216" w:right="381"/>
        <w:rPr>
          <w:rFonts w:asciiTheme="minorHAnsi" w:hAnsiTheme="minorHAnsi" w:cstheme="minorHAnsi"/>
          <w:sz w:val="28"/>
        </w:rPr>
      </w:pPr>
    </w:p>
    <w:p w:rsidR="00C17748" w:rsidRDefault="00C17748" w:rsidP="00C17748">
      <w:pPr>
        <w:pStyle w:val="Zkladntext"/>
        <w:ind w:left="216" w:right="381"/>
        <w:rPr>
          <w:rFonts w:asciiTheme="minorHAnsi" w:hAnsiTheme="minorHAnsi" w:cstheme="minorHAnsi"/>
          <w:sz w:val="28"/>
        </w:rPr>
      </w:pPr>
    </w:p>
    <w:p w:rsidR="00C17748" w:rsidRDefault="00C17748" w:rsidP="00C17748">
      <w:pPr>
        <w:pStyle w:val="Zkladntext"/>
        <w:ind w:left="216" w:right="381"/>
        <w:rPr>
          <w:rFonts w:asciiTheme="minorHAnsi" w:hAnsiTheme="minorHAnsi" w:cstheme="minorHAnsi"/>
          <w:sz w:val="28"/>
        </w:rPr>
      </w:pPr>
    </w:p>
    <w:p w:rsidR="00373EEE" w:rsidRPr="00C17748" w:rsidRDefault="00C17748" w:rsidP="00C17748">
      <w:pPr>
        <w:pStyle w:val="Zkladntext"/>
        <w:spacing w:after="240"/>
        <w:ind w:left="216" w:right="381"/>
        <w:rPr>
          <w:rFonts w:asciiTheme="minorHAnsi" w:hAnsiTheme="minorHAnsi" w:cstheme="minorHAnsi"/>
          <w:sz w:val="32"/>
          <w:szCs w:val="32"/>
        </w:rPr>
      </w:pPr>
      <w:r w:rsidRPr="00C17748">
        <w:rPr>
          <w:rFonts w:asciiTheme="minorHAnsi" w:hAnsiTheme="minorHAnsi" w:cstheme="minorHAnsi"/>
          <w:sz w:val="32"/>
          <w:szCs w:val="32"/>
        </w:rPr>
        <w:t>Žiadateľom o dotáciu na podporu humanitárnej pomoci je fyzická osoba s trvalým alebo prechodným pobytom v SR.</w:t>
      </w:r>
    </w:p>
    <w:p w:rsidR="00373EEE" w:rsidRPr="00C17748" w:rsidRDefault="00C17748" w:rsidP="00C17748">
      <w:pPr>
        <w:ind w:left="216"/>
        <w:rPr>
          <w:rFonts w:asciiTheme="minorHAnsi" w:hAnsiTheme="minorHAnsi" w:cstheme="minorHAnsi"/>
          <w:b/>
          <w:sz w:val="32"/>
          <w:szCs w:val="32"/>
        </w:rPr>
      </w:pPr>
      <w:r w:rsidRPr="00C17748">
        <w:rPr>
          <w:rFonts w:asciiTheme="minorHAnsi" w:hAnsiTheme="minorHAnsi" w:cstheme="minorHAnsi"/>
          <w:sz w:val="32"/>
          <w:szCs w:val="32"/>
        </w:rPr>
        <w:t>Úrad poskytne dotáciu</w:t>
      </w:r>
      <w:r w:rsidRPr="00C17748">
        <w:rPr>
          <w:rFonts w:asciiTheme="minorHAnsi" w:hAnsiTheme="minorHAnsi" w:cstheme="minorHAnsi"/>
          <w:sz w:val="32"/>
          <w:szCs w:val="32"/>
          <w:u w:val="thick"/>
        </w:rPr>
        <w:t xml:space="preserve"> </w:t>
      </w:r>
      <w:r w:rsidRPr="00C17748">
        <w:rPr>
          <w:rFonts w:asciiTheme="minorHAnsi" w:hAnsiTheme="minorHAnsi" w:cstheme="minorHAnsi"/>
          <w:b/>
          <w:sz w:val="32"/>
          <w:szCs w:val="32"/>
          <w:u w:val="thick"/>
        </w:rPr>
        <w:t>na základe žiadosti podanej do 31.</w:t>
      </w:r>
      <w:r w:rsidR="00346F93">
        <w:rPr>
          <w:rFonts w:asciiTheme="minorHAnsi" w:hAnsiTheme="minorHAnsi" w:cstheme="minorHAnsi"/>
          <w:b/>
          <w:sz w:val="32"/>
          <w:szCs w:val="32"/>
          <w:u w:val="thick"/>
        </w:rPr>
        <w:t xml:space="preserve"> </w:t>
      </w:r>
      <w:r w:rsidRPr="00C17748">
        <w:rPr>
          <w:rFonts w:asciiTheme="minorHAnsi" w:hAnsiTheme="minorHAnsi" w:cstheme="minorHAnsi"/>
          <w:b/>
          <w:sz w:val="32"/>
          <w:szCs w:val="32"/>
          <w:u w:val="thick"/>
        </w:rPr>
        <w:t>12.</w:t>
      </w:r>
      <w:r w:rsidR="00346F93">
        <w:rPr>
          <w:rFonts w:asciiTheme="minorHAnsi" w:hAnsiTheme="minorHAnsi" w:cstheme="minorHAnsi"/>
          <w:b/>
          <w:sz w:val="32"/>
          <w:szCs w:val="32"/>
          <w:u w:val="thick"/>
        </w:rPr>
        <w:t xml:space="preserve"> </w:t>
      </w:r>
      <w:r w:rsidRPr="00C17748">
        <w:rPr>
          <w:rFonts w:asciiTheme="minorHAnsi" w:hAnsiTheme="minorHAnsi" w:cstheme="minorHAnsi"/>
          <w:b/>
          <w:sz w:val="32"/>
          <w:szCs w:val="32"/>
          <w:u w:val="thick"/>
        </w:rPr>
        <w:t>2022:</w:t>
      </w:r>
    </w:p>
    <w:p w:rsidR="00373EEE" w:rsidRPr="00C17748" w:rsidRDefault="00373EEE" w:rsidP="00C17748">
      <w:pPr>
        <w:rPr>
          <w:rFonts w:asciiTheme="minorHAnsi" w:hAnsiTheme="minorHAnsi" w:cstheme="minorHAnsi"/>
          <w:b/>
          <w:sz w:val="32"/>
          <w:szCs w:val="32"/>
        </w:rPr>
      </w:pPr>
    </w:p>
    <w:p w:rsidR="00373EEE" w:rsidRPr="00C17748" w:rsidRDefault="00C17748" w:rsidP="00C17748">
      <w:pPr>
        <w:pStyle w:val="Odsekzoznamu"/>
        <w:numPr>
          <w:ilvl w:val="0"/>
          <w:numId w:val="4"/>
        </w:numPr>
        <w:tabs>
          <w:tab w:val="left" w:pos="937"/>
        </w:tabs>
        <w:rPr>
          <w:rFonts w:asciiTheme="minorHAnsi" w:hAnsiTheme="minorHAnsi" w:cstheme="minorHAnsi"/>
          <w:sz w:val="32"/>
          <w:szCs w:val="32"/>
        </w:rPr>
      </w:pPr>
      <w:r w:rsidRPr="00C17748">
        <w:rPr>
          <w:rFonts w:asciiTheme="minorHAnsi" w:hAnsiTheme="minorHAnsi" w:cstheme="minorHAnsi"/>
          <w:b/>
          <w:sz w:val="32"/>
          <w:szCs w:val="32"/>
        </w:rPr>
        <w:t xml:space="preserve">osobne alebo poštou </w:t>
      </w:r>
      <w:r w:rsidRPr="00C17748">
        <w:rPr>
          <w:rFonts w:asciiTheme="minorHAnsi" w:hAnsiTheme="minorHAnsi" w:cstheme="minorHAnsi"/>
          <w:sz w:val="32"/>
          <w:szCs w:val="32"/>
        </w:rPr>
        <w:t>na príslušný úrad práce, sociálnych vecí a rodiny podľa trvalého/prechodného</w:t>
      </w:r>
      <w:r w:rsidRPr="00C17748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pobytu;</w:t>
      </w:r>
    </w:p>
    <w:p w:rsidR="00373EEE" w:rsidRPr="00C17748" w:rsidRDefault="00C17748" w:rsidP="00C17748">
      <w:pPr>
        <w:pStyle w:val="Odsekzoznamu"/>
        <w:numPr>
          <w:ilvl w:val="0"/>
          <w:numId w:val="4"/>
        </w:numPr>
        <w:tabs>
          <w:tab w:val="left" w:pos="937"/>
        </w:tabs>
        <w:ind w:right="215"/>
        <w:rPr>
          <w:rFonts w:asciiTheme="minorHAnsi" w:hAnsiTheme="minorHAnsi" w:cstheme="minorHAnsi"/>
          <w:sz w:val="32"/>
          <w:szCs w:val="32"/>
        </w:rPr>
      </w:pPr>
      <w:r w:rsidRPr="00C17748">
        <w:rPr>
          <w:rFonts w:asciiTheme="minorHAnsi" w:hAnsiTheme="minorHAnsi" w:cstheme="minorHAnsi"/>
          <w:b/>
          <w:sz w:val="32"/>
          <w:szCs w:val="32"/>
        </w:rPr>
        <w:t>elektronickými</w:t>
      </w:r>
      <w:r w:rsidRPr="00C17748">
        <w:rPr>
          <w:rFonts w:asciiTheme="minorHAnsi" w:hAnsiTheme="minorHAnsi" w:cstheme="minorHAnsi"/>
          <w:b/>
          <w:spacing w:val="-18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b/>
          <w:sz w:val="32"/>
          <w:szCs w:val="32"/>
        </w:rPr>
        <w:t>prostriedkami</w:t>
      </w:r>
      <w:r w:rsidRPr="00C17748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(e-mailom,</w:t>
      </w:r>
      <w:r w:rsidRPr="00C17748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pričom</w:t>
      </w:r>
      <w:r w:rsidRPr="00C17748">
        <w:rPr>
          <w:rFonts w:asciiTheme="minorHAnsi" w:hAnsiTheme="minorHAnsi" w:cstheme="minorHAnsi"/>
          <w:spacing w:val="-12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žiadosť</w:t>
      </w:r>
      <w:r w:rsidRPr="00C17748">
        <w:rPr>
          <w:rFonts w:asciiTheme="minorHAnsi" w:hAnsiTheme="minorHAnsi" w:cstheme="minorHAnsi"/>
          <w:spacing w:val="-15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je</w:t>
      </w:r>
      <w:r w:rsidRPr="00C17748">
        <w:rPr>
          <w:rFonts w:asciiTheme="minorHAnsi" w:hAnsiTheme="minorHAnsi" w:cstheme="minorHAnsi"/>
          <w:spacing w:val="-15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potrebné</w:t>
      </w:r>
      <w:r w:rsidRPr="00C17748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podpísať</w:t>
      </w:r>
      <w:r w:rsidRPr="00C17748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a</w:t>
      </w:r>
      <w:r w:rsidRPr="00C17748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vo</w:t>
      </w:r>
      <w:r w:rsidRPr="00C17748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 xml:space="preserve">forme </w:t>
      </w:r>
      <w:proofErr w:type="spellStart"/>
      <w:r w:rsidRPr="00C17748">
        <w:rPr>
          <w:rFonts w:asciiTheme="minorHAnsi" w:hAnsiTheme="minorHAnsi" w:cstheme="minorHAnsi"/>
          <w:sz w:val="32"/>
          <w:szCs w:val="32"/>
        </w:rPr>
        <w:t>skenu</w:t>
      </w:r>
      <w:proofErr w:type="spellEnd"/>
      <w:r w:rsidRPr="00C17748">
        <w:rPr>
          <w:rFonts w:asciiTheme="minorHAnsi" w:hAnsiTheme="minorHAnsi" w:cstheme="minorHAnsi"/>
          <w:sz w:val="32"/>
          <w:szCs w:val="32"/>
        </w:rPr>
        <w:t xml:space="preserve"> poslať na úrad) bez kvalifikovaného elektronického podpisu, doplnenie žiadosti v listinnej podobe sa</w:t>
      </w:r>
      <w:r w:rsidRPr="00C1774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nevyžaduje.</w:t>
      </w:r>
    </w:p>
    <w:p w:rsidR="00373EEE" w:rsidRPr="00C17748" w:rsidRDefault="00C17748" w:rsidP="00C17748">
      <w:pPr>
        <w:pStyle w:val="Zkladntext"/>
        <w:ind w:left="216"/>
        <w:rPr>
          <w:rFonts w:asciiTheme="minorHAnsi" w:hAnsiTheme="minorHAnsi" w:cstheme="minorHAnsi"/>
          <w:sz w:val="32"/>
          <w:szCs w:val="32"/>
        </w:rPr>
      </w:pPr>
      <w:r w:rsidRPr="00C17748">
        <w:rPr>
          <w:rFonts w:asciiTheme="minorHAnsi" w:hAnsiTheme="minorHAnsi" w:cstheme="minorHAnsi"/>
          <w:sz w:val="32"/>
          <w:szCs w:val="32"/>
        </w:rPr>
        <w:t>Na žiadosti podané po 31.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12.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17748">
        <w:rPr>
          <w:rFonts w:asciiTheme="minorHAnsi" w:hAnsiTheme="minorHAnsi" w:cstheme="minorHAnsi"/>
          <w:sz w:val="32"/>
          <w:szCs w:val="32"/>
        </w:rPr>
        <w:t>2022 sa nebude prihliadať.</w:t>
      </w:r>
    </w:p>
    <w:p w:rsidR="00373EEE" w:rsidRPr="00C17748" w:rsidRDefault="00373EEE">
      <w:pPr>
        <w:spacing w:before="10"/>
        <w:rPr>
          <w:rFonts w:asciiTheme="minorHAnsi" w:hAnsiTheme="minorHAnsi" w:cstheme="minorHAnsi"/>
          <w:sz w:val="32"/>
          <w:szCs w:val="32"/>
        </w:rPr>
      </w:pPr>
    </w:p>
    <w:p w:rsidR="00373EEE" w:rsidRPr="00C17748" w:rsidRDefault="00C17748">
      <w:pPr>
        <w:ind w:left="216"/>
        <w:rPr>
          <w:rFonts w:asciiTheme="minorHAnsi" w:hAnsiTheme="minorHAnsi" w:cstheme="minorHAnsi"/>
          <w:b/>
          <w:sz w:val="32"/>
          <w:szCs w:val="32"/>
        </w:rPr>
      </w:pPr>
      <w:r w:rsidRPr="00C17748">
        <w:rPr>
          <w:rFonts w:asciiTheme="minorHAnsi" w:hAnsiTheme="minorHAnsi" w:cstheme="minorHAnsi"/>
          <w:spacing w:val="-71"/>
          <w:sz w:val="32"/>
          <w:szCs w:val="32"/>
          <w:u w:val="single"/>
        </w:rPr>
        <w:t xml:space="preserve"> </w:t>
      </w:r>
      <w:r w:rsidRPr="00C17748">
        <w:rPr>
          <w:rFonts w:asciiTheme="minorHAnsi" w:hAnsiTheme="minorHAnsi" w:cstheme="minorHAnsi"/>
          <w:b/>
          <w:sz w:val="32"/>
          <w:szCs w:val="32"/>
          <w:u w:val="single"/>
        </w:rPr>
        <w:t>Formou žiadostí je možné požiadať o tieto jednorazové dotácie:</w:t>
      </w:r>
    </w:p>
    <w:p w:rsidR="00373EEE" w:rsidRPr="00C17748" w:rsidRDefault="00373EEE">
      <w:pPr>
        <w:pStyle w:val="Zkladntext"/>
        <w:spacing w:before="12"/>
        <w:rPr>
          <w:rFonts w:asciiTheme="minorHAnsi" w:hAnsiTheme="minorHAnsi" w:cstheme="minorHAnsi"/>
          <w:b/>
          <w:sz w:val="24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D5D5D5"/>
          <w:left w:val="single" w:sz="6" w:space="0" w:color="D5D5D5"/>
          <w:bottom w:val="single" w:sz="6" w:space="0" w:color="D5D5D5"/>
          <w:right w:val="single" w:sz="6" w:space="0" w:color="D5D5D5"/>
          <w:insideH w:val="single" w:sz="6" w:space="0" w:color="D5D5D5"/>
          <w:insideV w:val="single" w:sz="6" w:space="0" w:color="D5D5D5"/>
        </w:tblBorders>
        <w:tblLayout w:type="fixed"/>
        <w:tblLook w:val="01E0" w:firstRow="1" w:lastRow="1" w:firstColumn="1" w:lastColumn="1" w:noHBand="0" w:noVBand="0"/>
      </w:tblPr>
      <w:tblGrid>
        <w:gridCol w:w="8627"/>
      </w:tblGrid>
      <w:tr w:rsidR="00373EEE" w:rsidRPr="00C17748">
        <w:trPr>
          <w:trHeight w:val="1436"/>
        </w:trPr>
        <w:tc>
          <w:tcPr>
            <w:tcW w:w="8627" w:type="dxa"/>
          </w:tcPr>
          <w:p w:rsidR="00373EEE" w:rsidRPr="00C17748" w:rsidRDefault="00C17748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ind w:right="63"/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Jednorazová dotácia vo výške 100 eur pre nezaopatrené dieťa, na ktoré je určená vyživovacia povinnosť rozhodnutím súdu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 xml:space="preserve"> najviac vo výške 150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6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eur</w:t>
            </w:r>
          </w:p>
        </w:tc>
      </w:tr>
      <w:tr w:rsidR="00373EEE" w:rsidRPr="00C17748">
        <w:trPr>
          <w:trHeight w:val="1758"/>
        </w:trPr>
        <w:tc>
          <w:tcPr>
            <w:tcW w:w="8627" w:type="dxa"/>
          </w:tcPr>
          <w:p w:rsidR="00373EEE" w:rsidRPr="00C17748" w:rsidRDefault="00C17748">
            <w:pPr>
              <w:pStyle w:val="TableParagraph"/>
              <w:numPr>
                <w:ilvl w:val="0"/>
                <w:numId w:val="2"/>
              </w:numPr>
              <w:tabs>
                <w:tab w:val="left" w:pos="797"/>
              </w:tabs>
              <w:jc w:val="both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Jednorazová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8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dotácia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0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vo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9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výške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9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100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1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eur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7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pre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0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plnoletú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9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 xml:space="preserve">fyzickú osobu,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ktorej v období od 30. apríla 2020 do 31. októbra 2022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 xml:space="preserve"> z dôvodu nadobudnutia plnoletosti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zaniklo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70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zverenie</w:t>
            </w:r>
          </w:p>
          <w:p w:rsidR="00373EEE" w:rsidRPr="00C17748" w:rsidRDefault="00C17748">
            <w:pPr>
              <w:pStyle w:val="TableParagraph"/>
              <w:spacing w:before="2"/>
              <w:ind w:right="0" w:firstLine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17748">
              <w:rPr>
                <w:rFonts w:asciiTheme="minorHAnsi" w:hAnsiTheme="minorHAnsi" w:cstheme="minorHAnsi"/>
                <w:color w:val="505050"/>
                <w:spacing w:val="-71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do starostlivosti nahrádzajúcej starostlivosť rodičov</w:t>
            </w:r>
          </w:p>
        </w:tc>
      </w:tr>
      <w:tr w:rsidR="00373EEE" w:rsidRPr="00C17748">
        <w:trPr>
          <w:trHeight w:val="2406"/>
        </w:trPr>
        <w:tc>
          <w:tcPr>
            <w:tcW w:w="8627" w:type="dxa"/>
          </w:tcPr>
          <w:p w:rsidR="00373EEE" w:rsidRPr="00C17748" w:rsidRDefault="00C17748">
            <w:pPr>
              <w:pStyle w:val="TableParagraph"/>
              <w:numPr>
                <w:ilvl w:val="0"/>
                <w:numId w:val="1"/>
              </w:numPr>
              <w:tabs>
                <w:tab w:val="left" w:pos="797"/>
              </w:tabs>
              <w:spacing w:before="73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Jednorazová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3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dotácia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3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vo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4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výške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3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100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3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Eur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2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pre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3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plnoletú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4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fyzickú osobu,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61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pre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58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ktorú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59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sa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58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v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období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61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od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55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30.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59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apríla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58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2020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57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do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59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31.</w:t>
            </w:r>
          </w:p>
          <w:p w:rsidR="00373EEE" w:rsidRPr="00C17748" w:rsidRDefault="00C17748">
            <w:pPr>
              <w:pStyle w:val="TableParagraph"/>
              <w:tabs>
                <w:tab w:val="left" w:pos="2144"/>
                <w:tab w:val="left" w:pos="3088"/>
                <w:tab w:val="left" w:pos="4839"/>
                <w:tab w:val="left" w:pos="6420"/>
              </w:tabs>
              <w:spacing w:before="0"/>
              <w:ind w:right="53" w:firstLine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17748">
              <w:rPr>
                <w:rFonts w:asciiTheme="minorHAnsi" w:hAnsiTheme="minorHAnsi" w:cstheme="minorHAnsi"/>
                <w:color w:val="505050"/>
                <w:spacing w:val="-71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októbra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ab/>
              <w:t>2022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ab/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vykonávali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ab/>
              <w:t>opatrenia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ab/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1"/>
                <w:sz w:val="32"/>
                <w:szCs w:val="32"/>
              </w:rPr>
              <w:t xml:space="preserve">sociálnoprávnej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ochrany detí a sociálnej kurately v centre pre deti a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5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rodiny</w:t>
            </w:r>
          </w:p>
          <w:p w:rsidR="00373EEE" w:rsidRPr="00C17748" w:rsidRDefault="00C17748">
            <w:pPr>
              <w:pStyle w:val="TableParagraph"/>
              <w:tabs>
                <w:tab w:val="left" w:pos="1458"/>
                <w:tab w:val="left" w:pos="2804"/>
                <w:tab w:val="left" w:pos="4740"/>
                <w:tab w:val="left" w:pos="5745"/>
                <w:tab w:val="left" w:pos="7508"/>
              </w:tabs>
              <w:spacing w:before="1"/>
              <w:ind w:right="56" w:firstLine="0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C17748">
              <w:rPr>
                <w:rFonts w:asciiTheme="minorHAnsi" w:hAnsiTheme="minorHAnsi" w:cstheme="minorHAnsi"/>
                <w:color w:val="505050"/>
                <w:spacing w:val="-71"/>
                <w:sz w:val="32"/>
                <w:szCs w:val="32"/>
                <w:u w:val="thick" w:color="505050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na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ab/>
              <w:t>zák</w:t>
            </w:r>
            <w:r w:rsidR="007E7FFD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>lade</w:t>
            </w:r>
            <w:r w:rsidR="007E7FFD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ab/>
              <w:t>rozhodnutia</w:t>
            </w:r>
            <w:r w:rsidR="007E7FFD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ab/>
              <w:t>súdu</w:t>
            </w:r>
            <w:r w:rsidR="007E7FFD">
              <w:rPr>
                <w:rFonts w:asciiTheme="minorHAnsi" w:hAnsiTheme="minorHAnsi" w:cstheme="minorHAnsi"/>
                <w:b/>
                <w:color w:val="505050"/>
                <w:sz w:val="32"/>
                <w:szCs w:val="32"/>
                <w:u w:val="thick" w:color="505050"/>
              </w:rPr>
              <w:tab/>
              <w:t xml:space="preserve">pobytovou 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3"/>
                <w:sz w:val="32"/>
                <w:szCs w:val="32"/>
                <w:u w:val="thick" w:color="505050"/>
              </w:rPr>
              <w:t>formou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3"/>
                <w:sz w:val="32"/>
                <w:szCs w:val="32"/>
              </w:rPr>
              <w:t xml:space="preserve">,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s výnimkou výkonu resocializačného</w:t>
            </w:r>
            <w:r w:rsidRPr="00C17748">
              <w:rPr>
                <w:rFonts w:asciiTheme="minorHAnsi" w:hAnsiTheme="minorHAnsi" w:cstheme="minorHAnsi"/>
                <w:b/>
                <w:color w:val="505050"/>
                <w:spacing w:val="-4"/>
                <w:sz w:val="32"/>
                <w:szCs w:val="32"/>
              </w:rPr>
              <w:t xml:space="preserve"> </w:t>
            </w:r>
            <w:r w:rsidRPr="00C17748">
              <w:rPr>
                <w:rFonts w:asciiTheme="minorHAnsi" w:hAnsiTheme="minorHAnsi" w:cstheme="minorHAnsi"/>
                <w:b/>
                <w:color w:val="505050"/>
                <w:sz w:val="32"/>
                <w:szCs w:val="32"/>
              </w:rPr>
              <w:t>programu</w:t>
            </w:r>
          </w:p>
        </w:tc>
      </w:tr>
    </w:tbl>
    <w:p w:rsidR="00C17748" w:rsidRDefault="00C17748">
      <w:pPr>
        <w:pStyle w:val="Nadpis1"/>
        <w:spacing w:line="256" w:lineRule="auto"/>
        <w:ind w:right="1147"/>
        <w:rPr>
          <w:rFonts w:asciiTheme="minorHAnsi" w:hAnsiTheme="minorHAnsi" w:cstheme="minorHAnsi"/>
          <w:sz w:val="32"/>
          <w:u w:val="none"/>
        </w:rPr>
      </w:pPr>
    </w:p>
    <w:p w:rsidR="00373EEE" w:rsidRPr="00C17748" w:rsidRDefault="00C17748">
      <w:pPr>
        <w:pStyle w:val="Nadpis1"/>
        <w:spacing w:line="256" w:lineRule="auto"/>
        <w:ind w:right="1147"/>
        <w:rPr>
          <w:rFonts w:asciiTheme="minorHAnsi" w:hAnsiTheme="minorHAnsi" w:cstheme="minorHAnsi"/>
          <w:sz w:val="32"/>
          <w:szCs w:val="32"/>
          <w:u w:val="none"/>
        </w:rPr>
      </w:pPr>
      <w:r w:rsidRPr="00C17748">
        <w:rPr>
          <w:rFonts w:asciiTheme="minorHAnsi" w:hAnsiTheme="minorHAnsi" w:cstheme="minorHAnsi"/>
          <w:sz w:val="32"/>
          <w:szCs w:val="32"/>
          <w:u w:val="none"/>
        </w:rPr>
        <w:t>Viac informácií, tlačivá žiadostí v elektronickej podobe nájdete tu:</w:t>
      </w:r>
    </w:p>
    <w:p w:rsidR="00373EEE" w:rsidRPr="00C17748" w:rsidRDefault="006C17AD">
      <w:pPr>
        <w:spacing w:before="167" w:line="256" w:lineRule="auto"/>
        <w:ind w:left="216" w:right="381"/>
        <w:rPr>
          <w:rFonts w:asciiTheme="minorHAnsi" w:hAnsiTheme="minorHAnsi" w:cstheme="minorHAnsi"/>
          <w:sz w:val="32"/>
          <w:szCs w:val="32"/>
        </w:rPr>
      </w:pPr>
      <w:hyperlink r:id="rId5">
        <w:r w:rsidR="00C17748" w:rsidRPr="00C17748">
          <w:rPr>
            <w:rFonts w:asciiTheme="minorHAnsi" w:hAnsiTheme="minorHAnsi" w:cstheme="minorHAnsi"/>
            <w:color w:val="0462C1"/>
            <w:sz w:val="32"/>
            <w:szCs w:val="32"/>
            <w:u w:val="thick" w:color="0462C1"/>
          </w:rPr>
          <w:t>https://www.upsvr.gov.sk/social-affairs-and-family/socialne-</w:t>
        </w:r>
      </w:hyperlink>
      <w:r w:rsidR="00C17748" w:rsidRPr="00C17748">
        <w:rPr>
          <w:rFonts w:asciiTheme="minorHAnsi" w:hAnsiTheme="minorHAnsi" w:cstheme="minorHAnsi"/>
          <w:color w:val="0462C1"/>
          <w:sz w:val="32"/>
          <w:szCs w:val="32"/>
        </w:rPr>
        <w:t xml:space="preserve"> </w:t>
      </w:r>
      <w:hyperlink r:id="rId6">
        <w:r w:rsidR="00C17748" w:rsidRPr="00C17748">
          <w:rPr>
            <w:rFonts w:asciiTheme="minorHAnsi" w:hAnsiTheme="minorHAnsi" w:cstheme="minorHAnsi"/>
            <w:color w:val="0462C1"/>
            <w:sz w:val="32"/>
            <w:szCs w:val="32"/>
            <w:u w:val="thick" w:color="0462C1"/>
          </w:rPr>
          <w:t>veci/2.-balik-inflacnej-pomoci.html?page_id=1222654</w:t>
        </w:r>
      </w:hyperlink>
    </w:p>
    <w:sectPr w:rsidR="00373EEE" w:rsidRPr="00C17748" w:rsidSect="00C17748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77CD"/>
    <w:multiLevelType w:val="hybridMultilevel"/>
    <w:tmpl w:val="699AAC2A"/>
    <w:lvl w:ilvl="0" w:tplc="4704D3AA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CB68D4EE">
      <w:numFmt w:val="bullet"/>
      <w:lvlText w:val="•"/>
      <w:lvlJc w:val="left"/>
      <w:pPr>
        <w:ind w:left="1796" w:hanging="360"/>
      </w:pPr>
      <w:rPr>
        <w:rFonts w:hint="default"/>
        <w:lang w:val="sk-SK" w:eastAsia="en-US" w:bidi="ar-SA"/>
      </w:rPr>
    </w:lvl>
    <w:lvl w:ilvl="2" w:tplc="3EA0D152">
      <w:numFmt w:val="bullet"/>
      <w:lvlText w:val="•"/>
      <w:lvlJc w:val="left"/>
      <w:pPr>
        <w:ind w:left="2653" w:hanging="360"/>
      </w:pPr>
      <w:rPr>
        <w:rFonts w:hint="default"/>
        <w:lang w:val="sk-SK" w:eastAsia="en-US" w:bidi="ar-SA"/>
      </w:rPr>
    </w:lvl>
    <w:lvl w:ilvl="3" w:tplc="C19AD6B2">
      <w:numFmt w:val="bullet"/>
      <w:lvlText w:val="•"/>
      <w:lvlJc w:val="left"/>
      <w:pPr>
        <w:ind w:left="3509" w:hanging="360"/>
      </w:pPr>
      <w:rPr>
        <w:rFonts w:hint="default"/>
        <w:lang w:val="sk-SK" w:eastAsia="en-US" w:bidi="ar-SA"/>
      </w:rPr>
    </w:lvl>
    <w:lvl w:ilvl="4" w:tplc="015A3576">
      <w:numFmt w:val="bullet"/>
      <w:lvlText w:val="•"/>
      <w:lvlJc w:val="left"/>
      <w:pPr>
        <w:ind w:left="4366" w:hanging="360"/>
      </w:pPr>
      <w:rPr>
        <w:rFonts w:hint="default"/>
        <w:lang w:val="sk-SK" w:eastAsia="en-US" w:bidi="ar-SA"/>
      </w:rPr>
    </w:lvl>
    <w:lvl w:ilvl="5" w:tplc="7EFE3964">
      <w:numFmt w:val="bullet"/>
      <w:lvlText w:val="•"/>
      <w:lvlJc w:val="left"/>
      <w:pPr>
        <w:ind w:left="5223" w:hanging="360"/>
      </w:pPr>
      <w:rPr>
        <w:rFonts w:hint="default"/>
        <w:lang w:val="sk-SK" w:eastAsia="en-US" w:bidi="ar-SA"/>
      </w:rPr>
    </w:lvl>
    <w:lvl w:ilvl="6" w:tplc="11E4B6FE">
      <w:numFmt w:val="bullet"/>
      <w:lvlText w:val="•"/>
      <w:lvlJc w:val="left"/>
      <w:pPr>
        <w:ind w:left="6079" w:hanging="360"/>
      </w:pPr>
      <w:rPr>
        <w:rFonts w:hint="default"/>
        <w:lang w:val="sk-SK" w:eastAsia="en-US" w:bidi="ar-SA"/>
      </w:rPr>
    </w:lvl>
    <w:lvl w:ilvl="7" w:tplc="A02C5C44">
      <w:numFmt w:val="bullet"/>
      <w:lvlText w:val="•"/>
      <w:lvlJc w:val="left"/>
      <w:pPr>
        <w:ind w:left="6936" w:hanging="360"/>
      </w:pPr>
      <w:rPr>
        <w:rFonts w:hint="default"/>
        <w:lang w:val="sk-SK" w:eastAsia="en-US" w:bidi="ar-SA"/>
      </w:rPr>
    </w:lvl>
    <w:lvl w:ilvl="8" w:tplc="1ED675FE">
      <w:numFmt w:val="bullet"/>
      <w:lvlText w:val="•"/>
      <w:lvlJc w:val="left"/>
      <w:pPr>
        <w:ind w:left="7793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28BA1A55"/>
    <w:multiLevelType w:val="hybridMultilevel"/>
    <w:tmpl w:val="D76CF28C"/>
    <w:lvl w:ilvl="0" w:tplc="9D44ACB0">
      <w:numFmt w:val="bullet"/>
      <w:lvlText w:val=""/>
      <w:lvlJc w:val="left"/>
      <w:pPr>
        <w:ind w:left="796" w:hanging="360"/>
      </w:pPr>
      <w:rPr>
        <w:rFonts w:ascii="Wingdings" w:eastAsia="Wingdings" w:hAnsi="Wingdings" w:cs="Wingdings" w:hint="default"/>
        <w:color w:val="505050"/>
        <w:w w:val="100"/>
        <w:sz w:val="28"/>
        <w:szCs w:val="28"/>
        <w:lang w:val="sk-SK" w:eastAsia="en-US" w:bidi="ar-SA"/>
      </w:rPr>
    </w:lvl>
    <w:lvl w:ilvl="1" w:tplc="67C6AD20">
      <w:numFmt w:val="bullet"/>
      <w:lvlText w:val="•"/>
      <w:lvlJc w:val="left"/>
      <w:pPr>
        <w:ind w:left="1581" w:hanging="360"/>
      </w:pPr>
      <w:rPr>
        <w:rFonts w:hint="default"/>
        <w:lang w:val="sk-SK" w:eastAsia="en-US" w:bidi="ar-SA"/>
      </w:rPr>
    </w:lvl>
    <w:lvl w:ilvl="2" w:tplc="3AE4A92E">
      <w:numFmt w:val="bullet"/>
      <w:lvlText w:val="•"/>
      <w:lvlJc w:val="left"/>
      <w:pPr>
        <w:ind w:left="2362" w:hanging="360"/>
      </w:pPr>
      <w:rPr>
        <w:rFonts w:hint="default"/>
        <w:lang w:val="sk-SK" w:eastAsia="en-US" w:bidi="ar-SA"/>
      </w:rPr>
    </w:lvl>
    <w:lvl w:ilvl="3" w:tplc="B8AAC31C">
      <w:numFmt w:val="bullet"/>
      <w:lvlText w:val="•"/>
      <w:lvlJc w:val="left"/>
      <w:pPr>
        <w:ind w:left="3143" w:hanging="360"/>
      </w:pPr>
      <w:rPr>
        <w:rFonts w:hint="default"/>
        <w:lang w:val="sk-SK" w:eastAsia="en-US" w:bidi="ar-SA"/>
      </w:rPr>
    </w:lvl>
    <w:lvl w:ilvl="4" w:tplc="B90471EC">
      <w:numFmt w:val="bullet"/>
      <w:lvlText w:val="•"/>
      <w:lvlJc w:val="left"/>
      <w:pPr>
        <w:ind w:left="3924" w:hanging="360"/>
      </w:pPr>
      <w:rPr>
        <w:rFonts w:hint="default"/>
        <w:lang w:val="sk-SK" w:eastAsia="en-US" w:bidi="ar-SA"/>
      </w:rPr>
    </w:lvl>
    <w:lvl w:ilvl="5" w:tplc="F4A4F564">
      <w:numFmt w:val="bullet"/>
      <w:lvlText w:val="•"/>
      <w:lvlJc w:val="left"/>
      <w:pPr>
        <w:ind w:left="4706" w:hanging="360"/>
      </w:pPr>
      <w:rPr>
        <w:rFonts w:hint="default"/>
        <w:lang w:val="sk-SK" w:eastAsia="en-US" w:bidi="ar-SA"/>
      </w:rPr>
    </w:lvl>
    <w:lvl w:ilvl="6" w:tplc="B48C03BC">
      <w:numFmt w:val="bullet"/>
      <w:lvlText w:val="•"/>
      <w:lvlJc w:val="left"/>
      <w:pPr>
        <w:ind w:left="5487" w:hanging="360"/>
      </w:pPr>
      <w:rPr>
        <w:rFonts w:hint="default"/>
        <w:lang w:val="sk-SK" w:eastAsia="en-US" w:bidi="ar-SA"/>
      </w:rPr>
    </w:lvl>
    <w:lvl w:ilvl="7" w:tplc="80D00C82">
      <w:numFmt w:val="bullet"/>
      <w:lvlText w:val="•"/>
      <w:lvlJc w:val="left"/>
      <w:pPr>
        <w:ind w:left="6268" w:hanging="360"/>
      </w:pPr>
      <w:rPr>
        <w:rFonts w:hint="default"/>
        <w:lang w:val="sk-SK" w:eastAsia="en-US" w:bidi="ar-SA"/>
      </w:rPr>
    </w:lvl>
    <w:lvl w:ilvl="8" w:tplc="24B0D5AE">
      <w:numFmt w:val="bullet"/>
      <w:lvlText w:val="•"/>
      <w:lvlJc w:val="left"/>
      <w:pPr>
        <w:ind w:left="7049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CF1342D"/>
    <w:multiLevelType w:val="hybridMultilevel"/>
    <w:tmpl w:val="E56AA516"/>
    <w:lvl w:ilvl="0" w:tplc="B7E67640">
      <w:numFmt w:val="bullet"/>
      <w:lvlText w:val=""/>
      <w:lvlJc w:val="left"/>
      <w:pPr>
        <w:ind w:left="796" w:hanging="360"/>
      </w:pPr>
      <w:rPr>
        <w:rFonts w:ascii="Wingdings" w:eastAsia="Wingdings" w:hAnsi="Wingdings" w:cs="Wingdings" w:hint="default"/>
        <w:color w:val="505050"/>
        <w:w w:val="100"/>
        <w:sz w:val="28"/>
        <w:szCs w:val="28"/>
        <w:lang w:val="sk-SK" w:eastAsia="en-US" w:bidi="ar-SA"/>
      </w:rPr>
    </w:lvl>
    <w:lvl w:ilvl="1" w:tplc="D3BEB588">
      <w:numFmt w:val="bullet"/>
      <w:lvlText w:val="•"/>
      <w:lvlJc w:val="left"/>
      <w:pPr>
        <w:ind w:left="1581" w:hanging="360"/>
      </w:pPr>
      <w:rPr>
        <w:rFonts w:hint="default"/>
        <w:lang w:val="sk-SK" w:eastAsia="en-US" w:bidi="ar-SA"/>
      </w:rPr>
    </w:lvl>
    <w:lvl w:ilvl="2" w:tplc="BDD40BF8">
      <w:numFmt w:val="bullet"/>
      <w:lvlText w:val="•"/>
      <w:lvlJc w:val="left"/>
      <w:pPr>
        <w:ind w:left="2362" w:hanging="360"/>
      </w:pPr>
      <w:rPr>
        <w:rFonts w:hint="default"/>
        <w:lang w:val="sk-SK" w:eastAsia="en-US" w:bidi="ar-SA"/>
      </w:rPr>
    </w:lvl>
    <w:lvl w:ilvl="3" w:tplc="9FE47A5C">
      <w:numFmt w:val="bullet"/>
      <w:lvlText w:val="•"/>
      <w:lvlJc w:val="left"/>
      <w:pPr>
        <w:ind w:left="3143" w:hanging="360"/>
      </w:pPr>
      <w:rPr>
        <w:rFonts w:hint="default"/>
        <w:lang w:val="sk-SK" w:eastAsia="en-US" w:bidi="ar-SA"/>
      </w:rPr>
    </w:lvl>
    <w:lvl w:ilvl="4" w:tplc="C0DC2B2C">
      <w:numFmt w:val="bullet"/>
      <w:lvlText w:val="•"/>
      <w:lvlJc w:val="left"/>
      <w:pPr>
        <w:ind w:left="3924" w:hanging="360"/>
      </w:pPr>
      <w:rPr>
        <w:rFonts w:hint="default"/>
        <w:lang w:val="sk-SK" w:eastAsia="en-US" w:bidi="ar-SA"/>
      </w:rPr>
    </w:lvl>
    <w:lvl w:ilvl="5" w:tplc="996C63D4">
      <w:numFmt w:val="bullet"/>
      <w:lvlText w:val="•"/>
      <w:lvlJc w:val="left"/>
      <w:pPr>
        <w:ind w:left="4706" w:hanging="360"/>
      </w:pPr>
      <w:rPr>
        <w:rFonts w:hint="default"/>
        <w:lang w:val="sk-SK" w:eastAsia="en-US" w:bidi="ar-SA"/>
      </w:rPr>
    </w:lvl>
    <w:lvl w:ilvl="6" w:tplc="15E42D88">
      <w:numFmt w:val="bullet"/>
      <w:lvlText w:val="•"/>
      <w:lvlJc w:val="left"/>
      <w:pPr>
        <w:ind w:left="5487" w:hanging="360"/>
      </w:pPr>
      <w:rPr>
        <w:rFonts w:hint="default"/>
        <w:lang w:val="sk-SK" w:eastAsia="en-US" w:bidi="ar-SA"/>
      </w:rPr>
    </w:lvl>
    <w:lvl w:ilvl="7" w:tplc="077A51A0">
      <w:numFmt w:val="bullet"/>
      <w:lvlText w:val="•"/>
      <w:lvlJc w:val="left"/>
      <w:pPr>
        <w:ind w:left="6268" w:hanging="360"/>
      </w:pPr>
      <w:rPr>
        <w:rFonts w:hint="default"/>
        <w:lang w:val="sk-SK" w:eastAsia="en-US" w:bidi="ar-SA"/>
      </w:rPr>
    </w:lvl>
    <w:lvl w:ilvl="8" w:tplc="01E85D14">
      <w:numFmt w:val="bullet"/>
      <w:lvlText w:val="•"/>
      <w:lvlJc w:val="left"/>
      <w:pPr>
        <w:ind w:left="704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77DF71A0"/>
    <w:multiLevelType w:val="hybridMultilevel"/>
    <w:tmpl w:val="A4D87E64"/>
    <w:lvl w:ilvl="0" w:tplc="2B66509C">
      <w:numFmt w:val="bullet"/>
      <w:lvlText w:val=""/>
      <w:lvlJc w:val="left"/>
      <w:pPr>
        <w:ind w:left="796" w:hanging="360"/>
      </w:pPr>
      <w:rPr>
        <w:rFonts w:ascii="Wingdings" w:eastAsia="Wingdings" w:hAnsi="Wingdings" w:cs="Wingdings" w:hint="default"/>
        <w:color w:val="505050"/>
        <w:w w:val="100"/>
        <w:sz w:val="28"/>
        <w:szCs w:val="28"/>
        <w:lang w:val="sk-SK" w:eastAsia="en-US" w:bidi="ar-SA"/>
      </w:rPr>
    </w:lvl>
    <w:lvl w:ilvl="1" w:tplc="F05EEDBE">
      <w:numFmt w:val="bullet"/>
      <w:lvlText w:val="•"/>
      <w:lvlJc w:val="left"/>
      <w:pPr>
        <w:ind w:left="1581" w:hanging="360"/>
      </w:pPr>
      <w:rPr>
        <w:rFonts w:hint="default"/>
        <w:lang w:val="sk-SK" w:eastAsia="en-US" w:bidi="ar-SA"/>
      </w:rPr>
    </w:lvl>
    <w:lvl w:ilvl="2" w:tplc="52E46136">
      <w:numFmt w:val="bullet"/>
      <w:lvlText w:val="•"/>
      <w:lvlJc w:val="left"/>
      <w:pPr>
        <w:ind w:left="2362" w:hanging="360"/>
      </w:pPr>
      <w:rPr>
        <w:rFonts w:hint="default"/>
        <w:lang w:val="sk-SK" w:eastAsia="en-US" w:bidi="ar-SA"/>
      </w:rPr>
    </w:lvl>
    <w:lvl w:ilvl="3" w:tplc="B2168CE2">
      <w:numFmt w:val="bullet"/>
      <w:lvlText w:val="•"/>
      <w:lvlJc w:val="left"/>
      <w:pPr>
        <w:ind w:left="3143" w:hanging="360"/>
      </w:pPr>
      <w:rPr>
        <w:rFonts w:hint="default"/>
        <w:lang w:val="sk-SK" w:eastAsia="en-US" w:bidi="ar-SA"/>
      </w:rPr>
    </w:lvl>
    <w:lvl w:ilvl="4" w:tplc="64D00CA2">
      <w:numFmt w:val="bullet"/>
      <w:lvlText w:val="•"/>
      <w:lvlJc w:val="left"/>
      <w:pPr>
        <w:ind w:left="3924" w:hanging="360"/>
      </w:pPr>
      <w:rPr>
        <w:rFonts w:hint="default"/>
        <w:lang w:val="sk-SK" w:eastAsia="en-US" w:bidi="ar-SA"/>
      </w:rPr>
    </w:lvl>
    <w:lvl w:ilvl="5" w:tplc="0518A6B8">
      <w:numFmt w:val="bullet"/>
      <w:lvlText w:val="•"/>
      <w:lvlJc w:val="left"/>
      <w:pPr>
        <w:ind w:left="4706" w:hanging="360"/>
      </w:pPr>
      <w:rPr>
        <w:rFonts w:hint="default"/>
        <w:lang w:val="sk-SK" w:eastAsia="en-US" w:bidi="ar-SA"/>
      </w:rPr>
    </w:lvl>
    <w:lvl w:ilvl="6" w:tplc="86E0C556">
      <w:numFmt w:val="bullet"/>
      <w:lvlText w:val="•"/>
      <w:lvlJc w:val="left"/>
      <w:pPr>
        <w:ind w:left="5487" w:hanging="360"/>
      </w:pPr>
      <w:rPr>
        <w:rFonts w:hint="default"/>
        <w:lang w:val="sk-SK" w:eastAsia="en-US" w:bidi="ar-SA"/>
      </w:rPr>
    </w:lvl>
    <w:lvl w:ilvl="7" w:tplc="061E2050">
      <w:numFmt w:val="bullet"/>
      <w:lvlText w:val="•"/>
      <w:lvlJc w:val="left"/>
      <w:pPr>
        <w:ind w:left="6268" w:hanging="360"/>
      </w:pPr>
      <w:rPr>
        <w:rFonts w:hint="default"/>
        <w:lang w:val="sk-SK" w:eastAsia="en-US" w:bidi="ar-SA"/>
      </w:rPr>
    </w:lvl>
    <w:lvl w:ilvl="8" w:tplc="F6F48A1E">
      <w:numFmt w:val="bullet"/>
      <w:lvlText w:val="•"/>
      <w:lvlJc w:val="left"/>
      <w:pPr>
        <w:ind w:left="7049" w:hanging="360"/>
      </w:pPr>
      <w:rPr>
        <w:rFonts w:hint="default"/>
        <w:lang w:val="sk-SK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EE"/>
    <w:rsid w:val="00346F93"/>
    <w:rsid w:val="00373EEE"/>
    <w:rsid w:val="006C17AD"/>
    <w:rsid w:val="007E7FFD"/>
    <w:rsid w:val="00C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1B75A-61CE-400A-9501-17C77566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ind w:left="216" w:right="381"/>
      <w:outlineLvl w:val="0"/>
    </w:pPr>
    <w:rPr>
      <w:sz w:val="34"/>
      <w:szCs w:val="3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Nzov">
    <w:name w:val="Title"/>
    <w:basedOn w:val="Normlny"/>
    <w:uiPriority w:val="1"/>
    <w:qFormat/>
    <w:pPr>
      <w:spacing w:before="17"/>
      <w:jc w:val="center"/>
    </w:pPr>
    <w:rPr>
      <w:b/>
      <w:bCs/>
      <w:sz w:val="56"/>
      <w:szCs w:val="56"/>
      <w:u w:val="single" w:color="000000"/>
    </w:rPr>
  </w:style>
  <w:style w:type="paragraph" w:styleId="Odsekzoznamu">
    <w:name w:val="List Paragraph"/>
    <w:basedOn w:val="Normlny"/>
    <w:uiPriority w:val="1"/>
    <w:qFormat/>
    <w:pPr>
      <w:ind w:left="936" w:right="212" w:hanging="360"/>
      <w:jc w:val="both"/>
    </w:pPr>
  </w:style>
  <w:style w:type="paragraph" w:customStyle="1" w:styleId="TableParagraph">
    <w:name w:val="Table Paragraph"/>
    <w:basedOn w:val="Normlny"/>
    <w:uiPriority w:val="1"/>
    <w:qFormat/>
    <w:pPr>
      <w:spacing w:before="70"/>
      <w:ind w:left="796" w:right="5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svr.gov.sk/social-affairs-and-family/socialne-veci/2.-balik-inflacnej-pomoci.html?page_id=1222654" TargetMode="External"/><Relationship Id="rId5" Type="http://schemas.openxmlformats.org/officeDocument/2006/relationships/hyperlink" Target="https://www.upsvr.gov.sk/social-affairs-and-family/socialne-veci/2.-balik-inflacnej-pomoci.html?page_id=1222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MPSVR-2120083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Spišiaková Renáta</dc:creator>
  <cp:lastModifiedBy>JANČÍKOVÁ Aneta</cp:lastModifiedBy>
  <cp:revision>2</cp:revision>
  <dcterms:created xsi:type="dcterms:W3CDTF">2022-12-05T13:48:00Z</dcterms:created>
  <dcterms:modified xsi:type="dcterms:W3CDTF">2022-12-05T13:48:00Z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</Properties>
</file>