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B2466A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B2466A">
              <w:rPr>
                <w:rFonts w:ascii="Arial Narrow" w:hAnsi="Arial Narrow"/>
                <w:sz w:val="18"/>
              </w:rPr>
              <w:t>8</w:t>
            </w:r>
            <w:r>
              <w:rPr>
                <w:rFonts w:ascii="Arial Narrow" w:hAnsi="Arial Narrow"/>
                <w:sz w:val="18"/>
              </w:rPr>
              <w:t>.0</w:t>
            </w:r>
            <w:r w:rsidR="00B2466A">
              <w:rPr>
                <w:rFonts w:ascii="Arial Narrow" w:hAnsi="Arial Narrow"/>
                <w:sz w:val="18"/>
              </w:rPr>
              <w:t>9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B2466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B2466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CA14B7">
        <w:rPr>
          <w:rFonts w:ascii="Arial Narrow" w:hAnsi="Arial Narrow"/>
          <w:sz w:val="24"/>
          <w:szCs w:val="24"/>
        </w:rPr>
        <w:t>471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C719E8">
        <w:rPr>
          <w:rFonts w:ascii="Arial Narrow" w:hAnsi="Arial Narrow"/>
          <w:sz w:val="24"/>
          <w:szCs w:val="24"/>
        </w:rPr>
        <w:t>8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C719E8">
        <w:rPr>
          <w:rFonts w:ascii="Arial Narrow" w:hAnsi="Arial Narrow"/>
          <w:sz w:val="24"/>
          <w:szCs w:val="24"/>
        </w:rPr>
        <w:t>9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7A71C9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Lužany</w:t>
      </w:r>
      <w:r w:rsidR="0043771E">
        <w:rPr>
          <w:rFonts w:ascii="Arial Narrow" w:hAnsi="Arial Narrow"/>
          <w:sz w:val="24"/>
          <w:szCs w:val="24"/>
        </w:rPr>
        <w:t>,</w:t>
      </w:r>
    </w:p>
    <w:p w:rsidR="006774D0" w:rsidRDefault="007A71C9" w:rsidP="005D0F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parcela </w:t>
      </w:r>
      <w:proofErr w:type="spellStart"/>
      <w:r w:rsidR="005D0FEE" w:rsidRPr="00834248">
        <w:rPr>
          <w:rFonts w:ascii="Arial Narrow" w:hAnsi="Arial Narrow"/>
          <w:sz w:val="24"/>
          <w:szCs w:val="24"/>
        </w:rPr>
        <w:t>reg</w:t>
      </w:r>
      <w:proofErr w:type="spellEnd"/>
      <w:r w:rsidR="005D0FEE"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="005D0FEE"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="005D0FEE"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="005D0FEE" w:rsidRPr="00255417">
        <w:rPr>
          <w:rFonts w:ascii="Arial Narrow" w:hAnsi="Arial Narrow"/>
          <w:b/>
          <w:sz w:val="24"/>
          <w:szCs w:val="24"/>
        </w:rPr>
        <w:t xml:space="preserve">. </w:t>
      </w:r>
      <w:r w:rsidR="00255417" w:rsidRPr="00255417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0</w:t>
      </w:r>
      <w:r w:rsidR="00255417" w:rsidRPr="00255417">
        <w:rPr>
          <w:rFonts w:ascii="Arial Narrow" w:hAnsi="Arial Narrow"/>
          <w:b/>
          <w:sz w:val="24"/>
          <w:szCs w:val="24"/>
        </w:rPr>
        <w:t>7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774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LV 375, v podiele ½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09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záhrada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454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LV 375, v podiele ½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01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zastavaná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65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LV 1, v podiele1/1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stavba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 xml:space="preserve">. číslo 277 na </w:t>
      </w:r>
      <w:proofErr w:type="spellStart"/>
      <w:r>
        <w:rPr>
          <w:rFonts w:ascii="Arial Narrow" w:hAnsi="Arial Narrow"/>
          <w:sz w:val="24"/>
          <w:szCs w:val="24"/>
        </w:rPr>
        <w:t>p.č</w:t>
      </w:r>
      <w:proofErr w:type="spellEnd"/>
      <w:r>
        <w:rPr>
          <w:rFonts w:ascii="Arial Narrow" w:hAnsi="Arial Narrow"/>
          <w:sz w:val="24"/>
          <w:szCs w:val="24"/>
        </w:rPr>
        <w:t>. 201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03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zastavaná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22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LV 1, v podiele 1/1 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7A71C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05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zastavaná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18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LV 1, v podiele1/1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10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záhrada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114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LV 1, v podiele1/1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7A71C9">
        <w:rPr>
          <w:rFonts w:ascii="Arial Narrow" w:hAnsi="Arial Narrow"/>
          <w:sz w:val="24"/>
          <w:szCs w:val="24"/>
        </w:rPr>
        <w:t>..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7A71C9">
        <w:rPr>
          <w:rFonts w:ascii="Arial Narrow" w:hAnsi="Arial Narrow"/>
          <w:b/>
          <w:sz w:val="24"/>
          <w:szCs w:val="24"/>
        </w:rPr>
        <w:t>........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7A71C9">
        <w:rPr>
          <w:rFonts w:ascii="Arial Narrow" w:hAnsi="Arial Narrow"/>
          <w:b/>
          <w:sz w:val="24"/>
          <w:szCs w:val="24"/>
        </w:rPr>
        <w:t>19.10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CA14B7">
        <w:rPr>
          <w:rFonts w:ascii="Arial Narrow" w:hAnsi="Arial Narrow"/>
          <w:sz w:val="24"/>
          <w:szCs w:val="24"/>
        </w:rPr>
        <w:t>19.10</w:t>
      </w:r>
      <w:bookmarkStart w:id="0" w:name="_GoBack"/>
      <w:bookmarkEnd w:id="0"/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7A71C9">
        <w:rPr>
          <w:rFonts w:ascii="Arial Narrow" w:hAnsi="Arial Narrow"/>
          <w:b/>
          <w:sz w:val="24"/>
          <w:szCs w:val="24"/>
        </w:rPr>
        <w:t>5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 w:rsidRPr="00507288">
        <w:rPr>
          <w:rFonts w:ascii="Arial Narrow" w:hAnsi="Arial Narrow"/>
          <w:b/>
          <w:sz w:val="24"/>
          <w:szCs w:val="24"/>
        </w:rPr>
        <w:t>.</w:t>
      </w:r>
      <w:r w:rsidR="007A71C9"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</w:t>
      </w:r>
      <w:r w:rsidRPr="00834248">
        <w:rPr>
          <w:rFonts w:ascii="Arial Narrow" w:hAnsi="Arial Narrow"/>
          <w:sz w:val="24"/>
          <w:szCs w:val="24"/>
        </w:rPr>
        <w:lastRenderedPageBreak/>
        <w:t>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70" w:rsidRDefault="00433870">
      <w:r>
        <w:separator/>
      </w:r>
    </w:p>
  </w:endnote>
  <w:endnote w:type="continuationSeparator" w:id="0">
    <w:p w:rsidR="00433870" w:rsidRDefault="0043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CA14B7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70" w:rsidRDefault="00433870">
      <w:r>
        <w:separator/>
      </w:r>
    </w:p>
  </w:footnote>
  <w:footnote w:type="continuationSeparator" w:id="0">
    <w:p w:rsidR="00433870" w:rsidRDefault="0043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3870"/>
    <w:rsid w:val="0043771E"/>
    <w:rsid w:val="00442357"/>
    <w:rsid w:val="00447FA6"/>
    <w:rsid w:val="004524B1"/>
    <w:rsid w:val="004555DC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5BE2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C0FAC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A71C9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4F7B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D5C3F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A7019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2466A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19E8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A14B7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8744F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925B3-74F1-495E-8034-3A14EB28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43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5080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4</cp:revision>
  <cp:lastPrinted>2022-05-27T06:10:00Z</cp:lastPrinted>
  <dcterms:created xsi:type="dcterms:W3CDTF">2022-08-25T12:23:00Z</dcterms:created>
  <dcterms:modified xsi:type="dcterms:W3CDTF">2022-10-06T07:09:00Z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