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3159" w:leader="none"/>
        </w:tabs>
        <w:spacing w:before="97" w:after="0" w:line="240"/>
        <w:ind w:right="221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37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33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Í</w:t>
      </w:r>
      <w:r>
        <w:rPr>
          <w:rFonts w:ascii="Cambria" w:hAnsi="Cambria" w:cs="Cambria" w:eastAsia="Cambria"/>
          <w:b/>
          <w:color w:val="auto"/>
          <w:spacing w:val="36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36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</w:t>
      </w:r>
      <w:r>
        <w:rPr>
          <w:rFonts w:ascii="Cambria" w:hAnsi="Cambria" w:cs="Cambria" w:eastAsia="Cambria"/>
          <w:b/>
          <w:color w:val="auto"/>
          <w:spacing w:val="35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V</w:t>
      </w:r>
      <w:r>
        <w:rPr>
          <w:rFonts w:ascii="Cambria" w:hAnsi="Cambria" w:cs="Cambria" w:eastAsia="Cambria"/>
          <w:b/>
          <w:color w:val="auto"/>
          <w:spacing w:val="33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Ý</w:t>
        <w:tab/>
        <w:t xml:space="preserve">P L Á</w:t>
      </w:r>
      <w:r>
        <w:rPr>
          <w:rFonts w:ascii="Cambria" w:hAnsi="Cambria" w:cs="Cambria" w:eastAsia="Cambria"/>
          <w:b/>
          <w:color w:val="auto"/>
          <w:spacing w:val="96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N</w:t>
      </w:r>
    </w:p>
    <w:p>
      <w:pPr>
        <w:spacing w:before="1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219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Komunitné centrum</w:t>
      </w:r>
      <w:r>
        <w:rPr>
          <w:rFonts w:ascii="Cambria" w:hAnsi="Cambria" w:cs="Cambria" w:eastAsia="Cambria"/>
          <w:b/>
          <w:color w:val="auto"/>
          <w:spacing w:val="59"/>
          <w:position w:val="0"/>
          <w:sz w:val="40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Tekovské Lu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žany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6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59"/>
          <w:shd w:fill="auto" w:val="clear"/>
        </w:rPr>
      </w:pPr>
    </w:p>
    <w:p>
      <w:pPr>
        <w:spacing w:before="0" w:after="0" w:line="249"/>
        <w:ind w:right="141" w:left="856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Krízový plán KC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je vypracovan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základe pokynov koordinátora projektu z riadiaceho orgánu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Implementa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agentúra Ministerstva práce, sociálnych vecí a rodiny Slovenskej republiky.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služieb KC je Obec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žany.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141" w:left="856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Obsahom KP sú opatrenia,  ktoré 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 prijme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riešenie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ízových situácií v súvislosti s výskytom ochorenia COVID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19.     KC je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ízovej intervencie na komunitnej úrovni.</w:t>
      </w:r>
    </w:p>
    <w:p>
      <w:pPr>
        <w:spacing w:before="2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6" w:leader="none"/>
        </w:tabs>
        <w:spacing w:before="0" w:after="0" w:line="247"/>
        <w:ind w:right="141" w:left="856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KP je vypracovaný s prihliadnutím na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žiavanie ľudskej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ôstojnosti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ľudsk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práv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 strán.  Obsahuje 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 pre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v KC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čase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ízovej situácie v súvislosti s výskytom ochorenia COVID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3016" w:leader="none"/>
        </w:tabs>
        <w:spacing w:before="1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Vypracovala:</w:t>
        <w:tab/>
        <w:t xml:space="preserve">Mgr. Katarína Kúdelová,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OGKC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16" w:leader="none"/>
        </w:tabs>
        <w:spacing w:before="182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Schválil:</w:t>
        <w:tab/>
        <w:t xml:space="preserve">Ing. Marián Kotora,  starosta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82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Tekovských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žanoch, 06. 05. 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73" w:after="0" w:line="240"/>
        <w:ind w:right="2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Krízový plán je platný od 07. 05.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tabs>
          <w:tab w:val="left" w:pos="1708" w:leader="none"/>
          <w:tab w:val="left" w:pos="1709" w:leader="none"/>
        </w:tabs>
        <w:spacing w:before="79" w:after="0" w:line="240"/>
        <w:ind w:right="0" w:left="1708" w:hanging="49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Pracovníci KC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ďalej len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zamestnanci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16"/>
          <w:shd w:fill="auto" w:val="clear"/>
        </w:rPr>
        <w:t xml:space="preserve">1</w:t>
      </w:r>
    </w:p>
    <w:p>
      <w:pPr>
        <w:spacing w:before="243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Zamestnanci pracujú v nasledovnom 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a to aj v rámci krízovej situácie:</w:t>
      </w:r>
    </w:p>
    <w:p>
      <w:pPr>
        <w:spacing w:before="243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10" w:after="0" w:line="247"/>
        <w:ind w:right="4625" w:left="16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Odborný garant KC - Mgr. Katarína Kúdelová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, </w:t>
      </w:r>
    </w:p>
    <w:p>
      <w:pPr>
        <w:numPr>
          <w:ilvl w:val="0"/>
          <w:numId w:val="25"/>
        </w:numPr>
        <w:spacing w:before="10" w:after="0" w:line="247"/>
        <w:ind w:right="4625" w:left="16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Pracovník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ária Sakállosová</w:t>
      </w:r>
    </w:p>
    <w:p>
      <w:pPr>
        <w:spacing w:before="235" w:after="0" w:line="247"/>
        <w:ind w:right="1074" w:left="856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 zamestnancami 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ľa, 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sa  podie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 na  výkone  KC  v zmysle zákona o sociálnych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448/2008 Z. z. pre oprávnené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skupiny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zmysle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bodu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tohto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KP,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náplní.</w:t>
      </w:r>
    </w:p>
    <w:p>
      <w:pPr>
        <w:spacing w:before="3" w:after="0" w:line="247"/>
        <w:ind w:right="1073" w:left="856" w:firstLine="7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KC zabezpečuj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 pravidelnos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5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dní do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ždňa,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30 hodín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ždenne počas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otváracích hodín priamo v KC.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pracovného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času zamestnanci KC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v 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éne.</w:t>
      </w:r>
    </w:p>
    <w:p>
      <w:pPr>
        <w:spacing w:before="0" w:after="0" w:line="240"/>
        <w:ind w:right="1094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otv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áracích hodín sa v KC nachádza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jeden zo zamestnancov KC. V prípade neprítomnosti odborného garanta KC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chod KC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 KC.</w:t>
      </w:r>
    </w:p>
    <w:p>
      <w:pPr>
        <w:spacing w:before="0" w:after="0" w:line="240"/>
        <w:ind w:right="1077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 postupuje pri poskytovaní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KC v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úlade so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Štandardmi komunitn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ých centier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1079" w:left="856" w:firstLine="7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Zodpovednou osobou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realizáciu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resp. jednotlivých</w:t>
      </w:r>
      <w:r>
        <w:rPr>
          <w:rFonts w:ascii="Times New Roman" w:hAnsi="Times New Roman" w:cs="Times New Roman" w:eastAsia="Times New Roman"/>
          <w:color w:val="auto"/>
          <w:spacing w:val="-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opatrení (kontaktovanie v prípade podozrenia výskytu ochorenia na COVID-19 zo strany zamestnanca, resp.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v KC,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bude následne kontaktova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ÚVZ, kto bude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 dezinfekciu priestorov, kto bude sledovať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ásoby ochranných osobných pracovných pomôcok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aj “OOPP“) a materi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álu na dezinfekciu) sú zamestnanci KC, ktorí sa navzájom zastupujú v prípade neprítomnosti jedného z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nich.</w:t>
      </w:r>
    </w:p>
    <w:p>
      <w:pPr>
        <w:spacing w:before="9" w:after="0" w:line="240"/>
        <w:ind w:right="1080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týchto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čeniach a zodpovednosti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zamestnanci KC i Obec Tekovské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ôkladne informovaní.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559" w:left="862" w:firstLine="714"/>
        <w:jc w:val="left"/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KC 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 stanovené zodpovednosti v rozsahu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: Meno, priezvisko, pracovné zaradenie, kompetencia,</w:t>
      </w:r>
      <w:r>
        <w:rPr>
          <w:rFonts w:ascii="Times New Roman" w:hAnsi="Times New Roman" w:cs="Times New Roman" w:eastAsia="Times New Roman"/>
          <w:color w:val="auto"/>
          <w:spacing w:val="41"/>
          <w:position w:val="6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kontakt</w:t>
      </w:r>
    </w:p>
    <w:p>
      <w:pPr>
        <w:spacing w:before="0" w:after="0" w:line="240"/>
        <w:ind w:right="1559" w:left="862" w:firstLine="7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tbl>
      <w:tblPr>
        <w:tblInd w:w="1533" w:type="dxa"/>
      </w:tblPr>
      <w:tblGrid>
        <w:gridCol w:w="2777"/>
        <w:gridCol w:w="1280"/>
        <w:gridCol w:w="2689"/>
      </w:tblGrid>
      <w:tr>
        <w:trPr>
          <w:trHeight w:val="281" w:hRule="auto"/>
          <w:jc w:val="left"/>
        </w:trPr>
        <w:tc>
          <w:tcPr>
            <w:tcW w:w="27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5"/>
              <w:ind w:right="0" w:left="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Mgr. Katarína Kúdelová,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55"/>
              <w:ind w:right="0" w:left="15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OGKC,</w:t>
            </w:r>
          </w:p>
        </w:tc>
        <w:tc>
          <w:tcPr>
            <w:tcW w:w="2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76" w:leader="none"/>
              </w:tabs>
              <w:spacing w:before="6" w:after="0" w:line="255"/>
              <w:ind w:right="4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t.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</w:t>
              <w:tab/>
              <w:t xml:space="preserve">   0905 701 465</w:t>
            </w:r>
          </w:p>
        </w:tc>
      </w:tr>
      <w:tr>
        <w:trPr>
          <w:trHeight w:val="281" w:hRule="auto"/>
          <w:jc w:val="left"/>
        </w:trPr>
        <w:tc>
          <w:tcPr>
            <w:tcW w:w="27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56"/>
              <w:ind w:right="0" w:left="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Mária Sakállosová,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56"/>
              <w:ind w:right="0" w:left="15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PKC,             </w:t>
            </w:r>
          </w:p>
        </w:tc>
        <w:tc>
          <w:tcPr>
            <w:tcW w:w="26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76" w:leader="none"/>
              </w:tabs>
              <w:spacing w:before="5" w:after="0" w:line="256"/>
              <w:ind w:right="5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</w:t>
              <w:tab/>
              <w:t xml:space="preserve">0918  595 921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7"/>
        </w:numPr>
        <w:tabs>
          <w:tab w:val="left" w:pos="1709" w:leader="none"/>
        </w:tabs>
        <w:spacing w:before="244" w:after="0" w:line="240"/>
        <w:ind w:right="0" w:left="1708" w:hanging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čenie  ochrany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zamestnancov</w:t>
      </w:r>
    </w:p>
    <w:p>
      <w:pPr>
        <w:spacing w:before="235" w:after="0" w:line="240"/>
        <w:ind w:right="1075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podľa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147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Zákonníka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práce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povinný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sústavne zais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ťovať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bezpečnosť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ochranu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zdravia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zamestnancov</w:t>
      </w:r>
      <w:r>
        <w:rPr>
          <w:rFonts w:ascii="Times New Roman" w:hAnsi="Times New Roman" w:cs="Times New Roman" w:eastAsia="Times New Roman"/>
          <w:color w:val="auto"/>
          <w:spacing w:val="-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tento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opatrenia vrátane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čovania prevencie,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prostriedkov a vhodného systému riadenia ochrany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práce.</w:t>
      </w:r>
    </w:p>
    <w:p>
      <w:pPr>
        <w:spacing w:before="53" w:after="0" w:line="240"/>
        <w:ind w:right="1094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nadväznosti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zamestn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je upraven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ods.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písm.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j)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BOZP,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je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zabezpečovať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opatrenia,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ktoré sa musia vykona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a ak je to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 a zabezpečovať 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prostriedky, ktoré sa musia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</w:t>
      </w:r>
    </w:p>
    <w:p>
      <w:pPr>
        <w:spacing w:before="8" w:after="0" w:line="247"/>
        <w:ind w:right="1077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 ods. 7 zákona o BOZP je 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stara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o bezpečnosť a ochranu zdravia 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osôb, ktoré sa nachádzajú s jeho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5" w:after="0" w:line="240"/>
        <w:ind w:right="1558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Uvedené opatrenia a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činnosti je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aktualizova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podľa aktu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álnych usmernení hlavného hygienika SR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http://www.ruvznz.sk/txt/korona.pdf</w:t>
        </w:r>
      </w:hyperlink>
    </w:p>
    <w:p>
      <w:pPr>
        <w:spacing w:before="0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Iba so súhlasom zverejnenia osobných údajov zamestnanca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4" w:after="0" w:line="247"/>
        <w:ind w:right="1076" w:left="8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vedomím na jeho pracoviskách alebo v jeho priestoroch, napr. zamestnanci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teoreticky a prakticky zaškolen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 tomu, ako si vybra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pomôcky, správne ich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 likvidovať tak, aby sa zabr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ánilo expozícii infekciou.</w:t>
      </w:r>
    </w:p>
    <w:p>
      <w:pPr>
        <w:spacing w:before="236" w:after="0" w:line="240"/>
        <w:ind w:right="0" w:left="8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základe uvedených 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sú prijaté tieto preventívne opatrenia:</w:t>
      </w:r>
    </w:p>
    <w:p>
      <w:pPr>
        <w:numPr>
          <w:ilvl w:val="0"/>
          <w:numId w:val="57"/>
        </w:numPr>
        <w:tabs>
          <w:tab w:val="left" w:pos="1284" w:leader="none"/>
        </w:tabs>
        <w:spacing w:before="55" w:after="0" w:line="240"/>
        <w:ind w:right="1076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dodatočn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materiálno-technického vybavenia  v  súvislosti s poskytovaním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KC - teplomery, dezinfekčn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prostriedky, OOPP (najmä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ška, rukavice), potreby a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ôcky na upratovanie, voda a iné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nariadení);</w:t>
      </w:r>
    </w:p>
    <w:p>
      <w:pPr>
        <w:numPr>
          <w:ilvl w:val="0"/>
          <w:numId w:val="57"/>
        </w:numPr>
        <w:tabs>
          <w:tab w:val="left" w:pos="1284" w:leader="none"/>
        </w:tabs>
        <w:spacing w:before="56" w:after="0" w:line="240"/>
        <w:ind w:right="1094" w:left="1283" w:hanging="4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Pravidelné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dôsledné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umývanie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rúk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mydlom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vodou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alebo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prostriedkom na báze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alkoholu:</w:t>
      </w:r>
    </w:p>
    <w:p>
      <w:pPr>
        <w:numPr>
          <w:ilvl w:val="0"/>
          <w:numId w:val="57"/>
        </w:numPr>
        <w:tabs>
          <w:tab w:val="left" w:pos="1284" w:leader="none"/>
        </w:tabs>
        <w:spacing w:before="11" w:after="0" w:line="240"/>
        <w:ind w:right="0" w:left="1283" w:hanging="3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 odchodom z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domu,</w:t>
      </w:r>
    </w:p>
    <w:p>
      <w:pPr>
        <w:numPr>
          <w:ilvl w:val="0"/>
          <w:numId w:val="57"/>
        </w:numPr>
        <w:tabs>
          <w:tab w:val="left" w:pos="1284" w:leader="none"/>
        </w:tabs>
        <w:spacing w:before="8" w:after="0" w:line="240"/>
        <w:ind w:right="0" w:left="1283" w:hanging="3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príchode do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práce,</w:t>
      </w:r>
    </w:p>
    <w:p>
      <w:pPr>
        <w:numPr>
          <w:ilvl w:val="0"/>
          <w:numId w:val="57"/>
        </w:numPr>
        <w:tabs>
          <w:tab w:val="left" w:pos="1284" w:leader="none"/>
        </w:tabs>
        <w:spacing w:before="11" w:after="0" w:line="240"/>
        <w:ind w:right="0" w:left="1283" w:hanging="3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toalety,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8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prestávke a denných pracovných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činnostiach,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8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 prípravou jedla 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nápojov,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11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konzumácii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jedla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nápojov,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vrátane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desiat,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8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 odchodom z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práce,</w:t>
      </w:r>
    </w:p>
    <w:p>
      <w:pPr>
        <w:numPr>
          <w:ilvl w:val="0"/>
          <w:numId w:val="57"/>
        </w:numPr>
        <w:tabs>
          <w:tab w:val="left" w:pos="1284" w:leader="none"/>
        </w:tabs>
        <w:spacing w:before="10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príchode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domov,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8" w:after="0" w:line="240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ždom priamom kontakte s chor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alebo izolovaným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klientom,</w:t>
      </w:r>
    </w:p>
    <w:p>
      <w:pPr>
        <w:numPr>
          <w:ilvl w:val="0"/>
          <w:numId w:val="57"/>
        </w:numPr>
        <w:tabs>
          <w:tab w:val="left" w:pos="1283" w:leader="none"/>
          <w:tab w:val="left" w:pos="1284" w:leader="none"/>
        </w:tabs>
        <w:spacing w:before="8" w:after="0" w:line="267"/>
        <w:ind w:right="0" w:left="1283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spoločn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uteráky a predmety osobnej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potreby.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8" w:after="0" w:line="240"/>
        <w:ind w:right="1095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ôsledná kontrola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ochranných rukavíc na pracovisku. Rukavice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odolné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 ochranu proti vírusom.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1" w:after="0" w:line="240"/>
        <w:ind w:right="1589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ôsledná kontrola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šok / respir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átorov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pracoviskách 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pracovných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pozícií.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3" w:after="0" w:line="240"/>
        <w:ind w:right="1095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Zavedenie systému merania telesnej teploty na pracovisku u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zamestnanca pred príchodom na pracovisko. Pracovní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 KC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pred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ástupom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práce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absolvujú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meranie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teploty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priestoroch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komunitného centra Tekovské Lu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žany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Zodpovednou osobou je Mgr. Katar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 Kúdelová.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0" w:after="0" w:line="240"/>
        <w:ind w:right="1093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zamestnancov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povinnosti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merania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teploty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(večer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áno) pred nástupom do práce. Zamestnanec, ktorý prejavuje príznaky ochorenia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0" w:after="0" w:line="240"/>
        <w:ind w:right="1098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žiavanie odstupu od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zamestnancov na pracovisku minimálne vo vzdialenosti 2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metre.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15" w:after="0" w:line="249"/>
        <w:ind w:right="1081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Tam, kde je to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ponecha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otvoren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dvere, aby sa predi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ýkaniu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ľučky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dver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0" w:after="0" w:line="249"/>
        <w:ind w:right="1088" w:left="1283" w:hanging="4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Obmedzi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úplne osobné stretávanie zamestnancov na pracovisku (porady, mítingy).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0" w:after="0" w:line="240"/>
        <w:ind w:right="1492" w:left="1283" w:hanging="5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postupn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žim stravovania zamestnancov na pracovisku.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zamestnanec sa stravuje pri stole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sám.</w:t>
      </w:r>
    </w:p>
    <w:p>
      <w:pPr>
        <w:numPr>
          <w:ilvl w:val="0"/>
          <w:numId w:val="57"/>
        </w:numPr>
        <w:tabs>
          <w:tab w:val="left" w:pos="1284" w:leader="none"/>
        </w:tabs>
        <w:spacing w:before="0" w:after="0" w:line="247"/>
        <w:ind w:right="1072" w:left="1283" w:hanging="5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Zamestnanec má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ohľadom na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legislatívu Zákonníka práce 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informovať o tom, že sa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átil on alebo jeho blízky príbuzný resp. blízka osoba z rizikovej oblasti zasiahnutej koronavírusom, alebo o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jeho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ácnosti alebo blízkom okolí bol v priamom kontakte s osobou, ktorej bola zistená t. j. laboratórnym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na ÚVZ SR potvrdená infekcia COVID-19 alebo je v izolácii pre podozrenie na infekciu a nie sú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ýsledky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šetrenia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áme. Uvedené platí aj pre prípad, ak sa zamestnanec dostal do kontaktu s infikovaným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KC.</w:t>
      </w:r>
    </w:p>
    <w:p>
      <w:pPr>
        <w:numPr>
          <w:ilvl w:val="0"/>
          <w:numId w:val="57"/>
        </w:numPr>
        <w:tabs>
          <w:tab w:val="left" w:pos="1276" w:leader="none"/>
        </w:tabs>
        <w:spacing w:before="35" w:after="0" w:line="240"/>
        <w:ind w:right="1096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vzhľadom na povinnosť predch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rizik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z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ľadiska  bezpečnosti a ochrany zdravia pri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 oprávnený vyzva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zamestnanca,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aby</w:t>
      </w:r>
    </w:p>
    <w:p>
      <w:pPr>
        <w:tabs>
          <w:tab w:val="left" w:pos="1276" w:leader="none"/>
        </w:tabs>
        <w:spacing w:before="0" w:after="0" w:line="240"/>
        <w:ind w:right="0" w:left="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80" w:after="0" w:line="240"/>
        <w:ind w:right="1094" w:left="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 podrobil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šetreniu u všeobecn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lekára (ktorého má kontaktova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najsk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ôr telefonicky 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inštrukci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vyšetrenie alebo zostať v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ácej izolácii a pod.), popr. hygienika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RÚVZ, najmä ak je dôvodné podozrenie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čenstva vzhľadom k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ávanej práci alebo má zamestnávate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podozrenie, že zamestnanec nie je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ôsobilý vykonáva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ácu pre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žnosť infekcie COVID-19. 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ípadnom nariadení karantény, t. j. izolácie, jej trvaní a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rozhoduje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RÚVZ a v tomto zmysle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povinný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jeho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žiadosť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áciu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zamestnancovi bola karant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nariadená.</w:t>
      </w:r>
    </w:p>
    <w:p>
      <w:pPr>
        <w:numPr>
          <w:ilvl w:val="0"/>
          <w:numId w:val="80"/>
        </w:numPr>
        <w:tabs>
          <w:tab w:val="left" w:pos="1222" w:leader="none"/>
        </w:tabs>
        <w:spacing w:before="235" w:after="0" w:line="240"/>
        <w:ind w:right="0" w:left="1221" w:hanging="3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čenie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priestorov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ámci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krízovej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situácie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7"/>
        <w:ind w:right="1239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Priestory KC by mali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prisp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ôsobené krízovej situácií, t. j.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KC zabezpeč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nasledovné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84"/>
        </w:numPr>
        <w:spacing w:before="106" w:after="0" w:line="247"/>
        <w:ind w:right="1558" w:left="185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do odvolania nariadil činnosť KC v obmedzenom režime,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 neprichádzajú do osobného kontaktu s klientmi.</w:t>
      </w:r>
    </w:p>
    <w:p>
      <w:pPr>
        <w:numPr>
          <w:ilvl w:val="0"/>
          <w:numId w:val="84"/>
        </w:numPr>
        <w:spacing w:before="0" w:after="0" w:line="249"/>
        <w:ind w:right="1080" w:left="185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Zverejnenie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kontaktov a informácií na vstupných dverách do KC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priestorov s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áciou,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musia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ímatelia sociálnych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vykonať, aby mohli vst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 KC napr.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Vstup len s 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škom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“.</w:t>
      </w:r>
    </w:p>
    <w:p>
      <w:pPr>
        <w:numPr>
          <w:ilvl w:val="0"/>
          <w:numId w:val="84"/>
        </w:numPr>
        <w:spacing w:before="0" w:after="0" w:line="247"/>
        <w:ind w:right="1074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potrebné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šenie frekvencie upratovania na pracovisku. Dezinfikovať predovšetk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predmety, ktorých sa 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žne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ýkajú zamestnanci KC a prijímatelia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ľučky, zvončeky,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če,  vodovodn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 batérie,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zábradlia,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lavice,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stôl,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klávesnica,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pod.</w:t>
      </w:r>
    </w:p>
    <w:p>
      <w:pPr>
        <w:numPr>
          <w:ilvl w:val="0"/>
          <w:numId w:val="84"/>
        </w:numPr>
        <w:spacing w:before="0" w:after="0" w:line="247"/>
        <w:ind w:right="1074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poskytovateľa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je zabezpečiť dezinfikovanie priestoru KC po každej individu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intervencii, pred vstupom nového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je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dezinfikova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všetky priestory, na dennej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áze po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času. Odpor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sa dezinfikova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prostriedkami s obsahom chl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óru, resp. jódu.</w:t>
      </w:r>
    </w:p>
    <w:p>
      <w:pPr>
        <w:numPr>
          <w:ilvl w:val="0"/>
          <w:numId w:val="84"/>
        </w:numPr>
        <w:spacing w:before="1" w:after="0" w:line="247"/>
        <w:ind w:right="1095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zber a skladovanie odpadu je potrebné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vyčlenen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vyhovujúce priestory a dostupné vhodné vrecia, aby nedochádzalo k jeho hromadeniu  a vzniku sekundárnych zdrojov. Odpad má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 plastových vriec na odpad a zviazaný. Plastové vrecia, ktoré sú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ívané pre tento druh odpadu, musia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maxim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 objem 0,1 m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a hrúbku minimálne 0,1 mm. Tento odpad je povinnos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ť zatriediť do kateg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órie nebezpe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ý a v súlade s legislatívou s ním naklada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ť. Pri nar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ábaní s týmto odpadom sa musia pou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11"/>
          <w:position w:val="6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OOPP.</w:t>
      </w:r>
    </w:p>
    <w:p>
      <w:pPr>
        <w:numPr>
          <w:ilvl w:val="0"/>
          <w:numId w:val="84"/>
        </w:numPr>
        <w:spacing w:before="6" w:after="0" w:line="249"/>
        <w:ind w:right="1321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Jednorazové pomôcky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bezpečne likvidovan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použit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nádobe na to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čenej a označenej biohazard alebo biologick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odpad.</w:t>
      </w:r>
    </w:p>
    <w:p>
      <w:pPr>
        <w:numPr>
          <w:ilvl w:val="0"/>
          <w:numId w:val="84"/>
        </w:numPr>
        <w:spacing w:before="0" w:after="0" w:line="270"/>
        <w:ind w:right="0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Pravidelné vetranie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pracovných priestorov.</w:t>
      </w:r>
    </w:p>
    <w:p>
      <w:pPr>
        <w:numPr>
          <w:ilvl w:val="0"/>
          <w:numId w:val="84"/>
        </w:numPr>
        <w:spacing w:before="11" w:after="0" w:line="247"/>
        <w:ind w:right="1077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prípade 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števy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bude s následne pozitívne testovaním na COVID-19 je potrebná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álna dezinfekcia priestorov za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žitia viroc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ídneho dezinfek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prostriedku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dezinfekčn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plánu prevádzkového poriadku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ľa.</w:t>
      </w:r>
    </w:p>
    <w:p>
      <w:pPr>
        <w:spacing w:before="201" w:after="0" w:line="240"/>
        <w:ind w:right="0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Dezinfekcia priestorov je zaznamenávaná - Príloha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65" w:after="0" w:line="240"/>
        <w:ind w:right="1087" w:left="8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V súlade  s nariadením  hlavného  hygienika  SE  je 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 preventívnym  opatrením  zákaz  vychádza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   a pohybovať sa na verejnosti bez prekrytia horn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dýchacích ciest (tvárové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ška),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poskytuje bariérovú ochranu pred kvapô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čkovou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ákazou. Je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é, aby 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 bolo nasaden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pokynov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ýrobcu.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6"/>
        </w:numPr>
        <w:tabs>
          <w:tab w:val="left" w:pos="1140" w:leader="none"/>
        </w:tabs>
        <w:spacing w:before="79" w:after="0" w:line="240"/>
        <w:ind w:right="0" w:left="1139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Odporú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činnosti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pracovn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íkov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KC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rámci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krízovej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situácie</w:t>
      </w:r>
    </w:p>
    <w:p>
      <w:pPr>
        <w:spacing w:before="243" w:after="0" w:line="247"/>
        <w:ind w:right="1074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Prevencia pred COVID-19 je dôle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časťou podpory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ízkych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osôb.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potrebné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otvorene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žieb. Postupy,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zamestnanci KC zvolia</w:t>
      </w:r>
      <w:r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úlade so zákonom 448/2008 Z. z. o sociálnych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v 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predpisov, kde v §6 ods. 2 uvádza: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Fyzick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 má právo na poskytovanie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svojim rozsahom, formou a spôsobom poskytovania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žňuje realizovať jej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ľudsk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práva a slobody, zachováva jej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ľudsk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dôstojnos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aktivizuje ju k posilneniu sebestačnosti, zabraňuje jej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álnemu vylú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čeniu a podporuje jej začlenenie do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spoločnosti.“</w:t>
      </w:r>
    </w:p>
    <w:p>
      <w:pPr>
        <w:spacing w:before="242" w:after="0" w:line="249"/>
        <w:ind w:right="1075" w:left="861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počas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ýnimo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čnej situ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 je zakázané vykonáva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skupinov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aktivity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, je potrebné i na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ďalej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 za dodr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žiavania pr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ísnych hygienických podmienok - udr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žiavať kontakt (telefonick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ý, e-mailový, osobný</w:t>
      </w:r>
      <w:r>
        <w:rPr>
          <w:rFonts w:ascii="Times New Roman" w:hAnsi="Times New Roman" w:cs="Times New Roman" w:eastAsia="Times New Roman"/>
          <w:color w:val="auto"/>
          <w:spacing w:val="60"/>
          <w:position w:val="6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  n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števa ter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énu at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ď.) s prij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ľmi soci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álnych</w:t>
      </w:r>
      <w:r>
        <w:rPr>
          <w:rFonts w:ascii="Times New Roman" w:hAnsi="Times New Roman" w:cs="Times New Roman" w:eastAsia="Times New Roman"/>
          <w:color w:val="auto"/>
          <w:spacing w:val="32"/>
          <w:position w:val="6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24"/>
          <w:shd w:fill="auto" w:val="clear"/>
        </w:rPr>
        <w:t xml:space="preserve">žieb.</w:t>
      </w:r>
    </w:p>
    <w:p>
      <w:pPr>
        <w:spacing w:before="229" w:after="0" w:line="247"/>
        <w:ind w:right="1075" w:left="861" w:firstLine="4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vytvori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definovať a zverejniť jasn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pravidlá, akým spôsobom sa majú prijímatelia sociálnych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(alebo ich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íbuzní) kontaktova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íkmi KC.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čovanie nasledovn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numPr>
          <w:ilvl w:val="0"/>
          <w:numId w:val="100"/>
        </w:numPr>
        <w:spacing w:before="237" w:after="0" w:line="247"/>
        <w:ind w:right="1073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zverejnenie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kontaktov KC a informácií na iných vhodných miestach (informa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tabule, webové sídlo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ľa, rozhlas, miestna tlač a telev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ízia, a pod.),</w:t>
      </w:r>
    </w:p>
    <w:p>
      <w:pPr>
        <w:numPr>
          <w:ilvl w:val="0"/>
          <w:numId w:val="100"/>
        </w:numPr>
        <w:spacing w:before="2" w:after="0" w:line="247"/>
        <w:ind w:right="1077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priebe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mapovanie aktuálnej situácie v komunitách, akým iným - primeraným spôsobom (komunika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kanálom napr. internet (fb, youtube, linkedin), televízia, rozhlas, obecný rozhlas, telefonický kontakt, megafón, resp. iné), okrem osobného kontaktu,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oslovi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cieľov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skupinu s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poskytovať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 o preventívnych opatreniach na zamedzenie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írenia COVID-19, resp.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čenia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 aktivít pre výkon KC,</w:t>
      </w:r>
    </w:p>
    <w:p>
      <w:pPr>
        <w:numPr>
          <w:ilvl w:val="0"/>
          <w:numId w:val="100"/>
        </w:numPr>
        <w:spacing w:before="7" w:after="0" w:line="247"/>
        <w:ind w:right="1173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priebe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mapovanie situácie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- vytipuje osamelo 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úcich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soc. služby,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nemajú rodinu, alebo rodina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žije ďaleko a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zabezpečiť starostlivosť po dobu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ípadnej domácej izolácie, o pripraví zoznamy a kontakty s potrebnými informáciami pre záchranárov,</w:t>
      </w:r>
    </w:p>
    <w:p>
      <w:pPr>
        <w:numPr>
          <w:ilvl w:val="0"/>
          <w:numId w:val="100"/>
        </w:numPr>
        <w:spacing w:before="5" w:after="0" w:line="247"/>
        <w:ind w:right="122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poradenstvo, resp. inú individuálnu intervenciu, za predpokladu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žania podmienok bezpečnosti pri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áci,</w:t>
      </w:r>
    </w:p>
    <w:p>
      <w:pPr>
        <w:numPr>
          <w:ilvl w:val="0"/>
          <w:numId w:val="100"/>
        </w:numPr>
        <w:spacing w:before="3" w:after="0" w:line="247"/>
        <w:ind w:right="1095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spolupráci s TSP identifikova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problémy v komunite 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ľadať možnosti svojpomocn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identifikovan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problémov (napríklad svojpomocné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pomôcok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ška, dezinfekčn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prostriedky, ochranné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íty a pod. pre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skupinu spolu s praktickým návodom na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týchto ochranných pomôcok; napríklad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aj  obrázkovou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formou),</w:t>
      </w:r>
    </w:p>
    <w:p>
      <w:pPr>
        <w:numPr>
          <w:ilvl w:val="0"/>
          <w:numId w:val="100"/>
        </w:numPr>
        <w:spacing w:before="4" w:after="0" w:line="247"/>
        <w:ind w:right="1077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spolupráci s TSP poskytovanie praktických informácií a návodov na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šene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situácií v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domácnostiach,</w:t>
      </w:r>
    </w:p>
    <w:p>
      <w:pPr>
        <w:numPr>
          <w:ilvl w:val="0"/>
          <w:numId w:val="100"/>
        </w:numPr>
        <w:spacing w:before="2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spolupracova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úradom, poskytova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im relevantn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informácie,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65" w:after="0" w:line="240"/>
        <w:ind w:right="1025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ÚVZ SR neur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inak, resp. ak ich aj povolí, je potrebné prísne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žiavať vopred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podmienky ich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čnej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1"/>
        </w:numPr>
        <w:tabs>
          <w:tab w:val="left" w:pos="3023" w:leader="none"/>
          <w:tab w:val="left" w:pos="4504" w:leader="none"/>
          <w:tab w:val="left" w:pos="5595" w:leader="none"/>
          <w:tab w:val="left" w:pos="7567" w:leader="none"/>
          <w:tab w:val="left" w:pos="9781" w:leader="none"/>
          <w:tab w:val="left" w:pos="9923" w:leader="none"/>
        </w:tabs>
        <w:spacing w:before="87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áciu aktivít</w:t>
        <w:tab/>
        <w:t xml:space="preserve">(vzdelávacích, rozvojových,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resp.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záujmových) pre deti a dospelých primeraným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spôsobom,</w:t>
      </w:r>
    </w:p>
    <w:p>
      <w:pPr>
        <w:numPr>
          <w:ilvl w:val="0"/>
          <w:numId w:val="111"/>
        </w:numPr>
        <w:tabs>
          <w:tab w:val="left" w:pos="9923" w:leader="none"/>
        </w:tabs>
        <w:spacing w:before="2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sledova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álnu situáciu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nariadenie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ábu  a  ministerstiev, RÚVZ a iných relevantných subjektov vrátane 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kanálov, vykonáva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mapovanie a informovanie o funguj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úcich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úciách v lokalite, okrese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(napr.: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lekári,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UPSVAR,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autobusy-vlaky,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potraviny…)</w:t>
      </w:r>
    </w:p>
    <w:p>
      <w:pPr>
        <w:numPr>
          <w:ilvl w:val="0"/>
          <w:numId w:val="111"/>
        </w:numPr>
        <w:spacing w:before="2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spolupracova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zabezpečovan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dostupnosti hygienických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potrieb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potravín a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podobne,</w:t>
      </w:r>
    </w:p>
    <w:p>
      <w:pPr>
        <w:numPr>
          <w:ilvl w:val="0"/>
          <w:numId w:val="111"/>
        </w:numPr>
        <w:tabs>
          <w:tab w:val="left" w:pos="2610" w:leader="none"/>
          <w:tab w:val="left" w:pos="3435" w:leader="none"/>
          <w:tab w:val="left" w:pos="3663" w:leader="none"/>
          <w:tab w:val="left" w:pos="4021" w:leader="none"/>
          <w:tab w:val="left" w:pos="5357" w:leader="none"/>
          <w:tab w:val="left" w:pos="5714" w:leader="none"/>
          <w:tab w:val="left" w:pos="6206" w:leader="none"/>
          <w:tab w:val="left" w:pos="8003" w:leader="none"/>
          <w:tab w:val="left" w:pos="8563" w:leader="none"/>
          <w:tab w:val="left" w:pos="8789" w:leader="none"/>
        </w:tabs>
        <w:spacing w:before="0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čovať prevent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 prístupy a postupy pri mana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žmente podozriv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 potvrdených prípadov u klientov sociálnych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vo vzťahu ku koronav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írusu COVID-19 v zmysle záväzný postup pre poskytovate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úvislosti s 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čenstvom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írenia infekcie spôsobenej koronavírusom (COVID-19,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SARS-CoV):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https://www.employment.gov.sk/files/slovensky/rodina-socialna-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pomoc/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 HYPERLINK "https://www.employment.gov.sk/files/slovensky/rodina-socialna-pomoc/socialne-sluzby/mz-sr-mpsvr-sr-socialne-sluzby.pdf"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socialne-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 HYPERLINK "https://www.employment.gov.sk/files/slovensky/rodina-socialna-pomoc/socialne-sluzby/mz-sr-mpsvr-sr-socialne-sluzby.pdf"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sluzby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shd w:fill="auto" w:val="clear"/>
          </w:rPr>
          <w:t xml:space="preserve"> HYPERLINK "https://www.employment.gov.sk/files/slovensky/rodina-socialna-pomoc/socialne-sluzby/mz-sr-mpsvr-sr-socialne-sluzby.pdf"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/mz-sr-mpsvr-sr-socialne-sluzby.pdf</w:t>
        </w:r>
      </w:hyperlink>
    </w:p>
    <w:p>
      <w:pPr>
        <w:numPr>
          <w:ilvl w:val="0"/>
          <w:numId w:val="111"/>
        </w:numPr>
        <w:tabs>
          <w:tab w:val="left" w:pos="2780" w:leader="none"/>
          <w:tab w:val="left" w:pos="4417" w:leader="none"/>
          <w:tab w:val="left" w:pos="5694" w:leader="none"/>
          <w:tab w:val="left" w:pos="7310" w:leader="none"/>
          <w:tab w:val="left" w:pos="8769" w:leader="none"/>
          <w:tab w:val="left" w:pos="9811" w:leader="none"/>
          <w:tab w:val="left" w:pos="9923" w:leader="none"/>
        </w:tabs>
        <w:spacing w:before="4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Zmapovanie technických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</w:t>
        <w:tab/>
        <w:t xml:space="preserve">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ácom prostredí pre zefektívnenie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komunikácie,</w:t>
      </w:r>
    </w:p>
    <w:p>
      <w:pPr>
        <w:numPr>
          <w:ilvl w:val="0"/>
          <w:numId w:val="111"/>
        </w:numPr>
        <w:tabs>
          <w:tab w:val="left" w:pos="9923" w:leader="none"/>
        </w:tabs>
        <w:spacing w:before="2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Vykonáva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aktivity v 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 / 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števu 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énu realizova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iba v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ípade, ak majú pracovníci KC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ochranné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pomôcky.</w:t>
      </w:r>
    </w:p>
    <w:p>
      <w:pPr>
        <w:numPr>
          <w:ilvl w:val="0"/>
          <w:numId w:val="111"/>
        </w:numPr>
        <w:tabs>
          <w:tab w:val="left" w:pos="1222" w:leader="none"/>
        </w:tabs>
        <w:spacing w:before="227" w:after="0" w:line="240"/>
        <w:ind w:right="0" w:left="1221" w:hanging="3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Preventívne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opatrenia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poskytovaní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činnosti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KC</w:t>
      </w:r>
    </w:p>
    <w:p>
      <w:pPr>
        <w:tabs>
          <w:tab w:val="left" w:pos="2794" w:leader="none"/>
          <w:tab w:val="left" w:pos="3813" w:leader="none"/>
          <w:tab w:val="left" w:pos="4146" w:leader="none"/>
          <w:tab w:val="left" w:pos="5244" w:leader="none"/>
          <w:tab w:val="left" w:pos="7130" w:leader="none"/>
          <w:tab w:val="left" w:pos="7588" w:leader="none"/>
          <w:tab w:val="left" w:pos="8545" w:leader="none"/>
        </w:tabs>
        <w:spacing w:before="243" w:after="0" w:line="249"/>
        <w:ind w:right="290" w:left="11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postup v prípade kontaktovania zo strany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prijímate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ľov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žby:</w:t>
      </w:r>
    </w:p>
    <w:p>
      <w:pPr>
        <w:spacing w:before="90" w:after="0" w:line="249"/>
        <w:ind w:right="7" w:left="11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ide o obavy z prebiehajúcej nákazy koronavírusom (vlastnej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ácnosti), tak je potrebné:</w:t>
      </w:r>
    </w:p>
    <w:p>
      <w:pPr>
        <w:spacing w:before="83" w:after="0" w:line="240"/>
        <w:ind w:right="0" w:left="113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Terénne:</w:t>
      </w:r>
    </w:p>
    <w:p>
      <w:pPr>
        <w:numPr>
          <w:ilvl w:val="0"/>
          <w:numId w:val="121"/>
        </w:numPr>
        <w:spacing w:before="62" w:after="0" w:line="247"/>
        <w:ind w:right="1077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Zamestnanci KC, ktorí vstupujú do komunity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vybaven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nevyhnutnými OOPP a bez príznakov ochorenia (bez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šenej teploty,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čnosť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atď),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osobnej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komunikácie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ich musia upovedomiť o povinnosti prekrytia horn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dýchacích ciest (napr. prostredníctvom tvárového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ška);</w:t>
      </w:r>
    </w:p>
    <w:p>
      <w:pPr>
        <w:numPr>
          <w:ilvl w:val="0"/>
          <w:numId w:val="121"/>
        </w:numPr>
        <w:spacing w:before="5" w:after="0" w:line="247"/>
        <w:ind w:right="1080" w:left="1843" w:hanging="3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(ak je to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é) s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telefonicky. Dodržiavať vzdialenosť medzi osobami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2 metre v teréne; </w:t>
      </w:r>
    </w:p>
    <w:p>
      <w:pPr>
        <w:numPr>
          <w:ilvl w:val="0"/>
          <w:numId w:val="121"/>
        </w:numPr>
        <w:spacing w:before="5" w:after="0" w:line="247"/>
        <w:ind w:right="1080" w:left="1843" w:hanging="3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Vyhýba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priestorom, kde je veľa ľud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í;</w:t>
      </w:r>
    </w:p>
    <w:p>
      <w:pPr>
        <w:spacing w:before="229" w:after="0" w:line="240"/>
        <w:ind w:right="0" w:left="113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Ambulantne:</w:t>
      </w:r>
    </w:p>
    <w:p>
      <w:pPr>
        <w:numPr>
          <w:ilvl w:val="0"/>
          <w:numId w:val="124"/>
        </w:numPr>
        <w:spacing w:before="10" w:after="0" w:line="247"/>
        <w:ind w:right="1073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 príchodom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do KC na vytvorenom mieste (viď priestorov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podmienky) urobi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íning so zameraním na akútnu respira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infekciu, teplotu,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šeľ,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ýchavicu, resp. overenie 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v rodine nie je niekto s potvrden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ochorením COVID-19 alebo nebol v úzkom kontakte s takým pacientom v posledných 14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ňoch alebo s cestovateľskou anamn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ácnosti v rizikovej oblasti v posledných 14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ňoch;   Ak je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ôvodné podozrenie,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soc. služby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respira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infekciu s jedným z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príznakov, nebude mu povolený vstup do KC;</w:t>
      </w:r>
    </w:p>
    <w:p>
      <w:pPr>
        <w:numPr>
          <w:ilvl w:val="0"/>
          <w:numId w:val="124"/>
        </w:numPr>
        <w:spacing w:before="10" w:after="0" w:line="247"/>
        <w:ind w:right="1073" w:left="185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 vzdialenosť medzi osobami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2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metre;</w:t>
      </w:r>
    </w:p>
    <w:p>
      <w:pPr>
        <w:numPr>
          <w:ilvl w:val="0"/>
          <w:numId w:val="124"/>
        </w:numPr>
        <w:spacing w:before="7" w:after="0" w:line="240"/>
        <w:ind w:right="0" w:left="185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Vyhýba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priestorom, kde je veľa ľud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í; </w:t>
      </w:r>
    </w:p>
    <w:p>
      <w:pPr>
        <w:tabs>
          <w:tab w:val="left" w:pos="106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  <w:tab w:val="left" w:pos="1103" w:leader="none"/>
          <w:tab w:val="left" w:pos="2211" w:leader="none"/>
          <w:tab w:val="left" w:pos="4114" w:leader="none"/>
          <w:tab w:val="left" w:pos="5618" w:leader="none"/>
          <w:tab w:val="left" w:pos="6136" w:leader="none"/>
          <w:tab w:val="left" w:pos="7639" w:leader="none"/>
          <w:tab w:val="left" w:pos="9065" w:leader="none"/>
        </w:tabs>
        <w:spacing w:before="8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V</w:t>
        <w:tab/>
        <w:t xml:space="preserve">prípade</w:t>
        <w:tab/>
        <w:t xml:space="preserve">odôvodneného</w:t>
        <w:tab/>
        <w:t xml:space="preserve">podozrenia</w:t>
        <w:tab/>
        <w:t xml:space="preserve">na</w:t>
        <w:tab/>
        <w:t xml:space="preserve">infikovanie</w:t>
        <w:tab/>
        <w:t xml:space="preserve">COVID-19</w:t>
        <w:tab/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16"/>
          <w:shd w:fill="auto" w:val="clear"/>
        </w:rPr>
        <w:t xml:space="preserve">5</w:t>
      </w:r>
    </w:p>
    <w:p>
      <w:pPr>
        <w:spacing w:before="8" w:after="0" w:line="240"/>
        <w:ind w:right="0" w:left="7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poskytovania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v KC:</w:t>
      </w:r>
    </w:p>
    <w:p>
      <w:pPr>
        <w:numPr>
          <w:ilvl w:val="0"/>
          <w:numId w:val="129"/>
        </w:numPr>
        <w:spacing w:before="11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bezodkladne izolovan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ý. Musí sa vyhnú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úzkemu a telesnému kontaktu s osobami, povrchmi alebo predmetmi,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 alebo vreckovku,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sú následne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zlikvidovan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(Ak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potrebuje použiť toaletu, zatiaľ čo čak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 lekársku/zdravotnícku pomoc, mal by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samostatn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toaletu,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k dispoz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ícii. To platí len po dobu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čakania na prevoz do nemocnice); Bezodkladne telefonicky kontaktovať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lekára a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RÚVZ linku, prípadne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ápomocný s telefonickým informovaním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úradov pre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ďalšieho postupu;</w:t>
      </w:r>
    </w:p>
    <w:p>
      <w:pPr>
        <w:numPr>
          <w:ilvl w:val="0"/>
          <w:numId w:val="129"/>
        </w:numPr>
        <w:spacing w:before="6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o nutnosti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ácej karantény a spôsoboch jej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žiavania a požiadať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žby, aby bezodkladne zabezpečil karant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énu aj ostatných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ácnosti (ak RÚVZ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inak).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prípade,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žiadať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o zabezpečenie karant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 v domácom prostrední, napr., v rámci 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ľovej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skupiny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domova,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potrebné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aj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ástupcov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obce 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žnosti umiestniť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éhoto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do nimi zriaden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karanténnych miest slú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žiacich na prevenciu pred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írením COVID-19, resp. 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žnosti zabezpečiť testovanie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ýchto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álnych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žieb;</w:t>
      </w:r>
    </w:p>
    <w:p>
      <w:pPr>
        <w:numPr>
          <w:ilvl w:val="0"/>
          <w:numId w:val="129"/>
        </w:numPr>
        <w:spacing w:before="10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potrebuje použiť toaletu, zatiaľ čo čak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na lekársku/zdravotnícku pomoc, mal by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samostatn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toaletu,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k dispoz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ícii. To platí len po dobu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čakania na prevoz do nemocnice; Upokojiť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- poskytn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 podporu;</w:t>
      </w:r>
    </w:p>
    <w:p>
      <w:pPr>
        <w:numPr>
          <w:ilvl w:val="0"/>
          <w:numId w:val="129"/>
        </w:numPr>
        <w:spacing w:before="4" w:after="0" w:line="247"/>
        <w:ind w:right="29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telefonick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kontakt na zamestnancov KC pre prípad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súvisiacich otázok a problémov;</w:t>
      </w:r>
    </w:p>
    <w:p>
      <w:pPr>
        <w:tabs>
          <w:tab w:val="left" w:pos="709" w:leader="none"/>
        </w:tabs>
        <w:spacing w:before="0" w:after="0" w:line="240"/>
        <w:ind w:right="29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Kontakty pre otázky súvisiace s ochorením COVID-19</w:t>
      </w:r>
    </w:p>
    <w:p>
      <w:pPr>
        <w:spacing w:before="195" w:after="0" w:line="242"/>
        <w:ind w:right="108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Poskytovatelia sociálnej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KC musia mať zverejnen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kontakty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2</w:t>
      </w:r>
    </w:p>
    <w:p>
      <w:pPr>
        <w:spacing w:before="195" w:after="0" w:line="242"/>
        <w:ind w:right="108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7"/>
        </w:numPr>
        <w:tabs>
          <w:tab w:val="left" w:pos="1001" w:leader="none"/>
        </w:tabs>
        <w:spacing w:before="121" w:after="0" w:line="240"/>
        <w:ind w:right="0" w:left="1000" w:hanging="1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Úrad verejného zdravotníctva Slovenskej republiky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0917 222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682,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>
        <w:tblInd w:w="1291" w:type="dxa"/>
      </w:tblPr>
      <w:tblGrid>
        <w:gridCol w:w="2156"/>
        <w:gridCol w:w="2098"/>
        <w:gridCol w:w="1985"/>
        <w:gridCol w:w="1986"/>
      </w:tblGrid>
      <w:tr>
        <w:trPr>
          <w:trHeight w:val="256" w:hRule="auto"/>
          <w:jc w:val="left"/>
        </w:trPr>
        <w:tc>
          <w:tcPr>
            <w:tcW w:w="8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39" w:left="125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Regionálny úrad verejného zdravotníctva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 sídlom</w:t>
            </w:r>
          </w:p>
        </w:tc>
      </w:tr>
      <w:tr>
        <w:trPr>
          <w:trHeight w:val="258" w:hRule="auto"/>
          <w:jc w:val="left"/>
        </w:trPr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Banská Bystrica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0918 659 580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Trnava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0905 903 053</w:t>
            </w:r>
          </w:p>
        </w:tc>
      </w:tr>
      <w:tr>
        <w:trPr>
          <w:trHeight w:val="258" w:hRule="auto"/>
          <w:jc w:val="left"/>
        </w:trPr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Bratislava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0917 426 075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ín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0911 763 203</w:t>
            </w:r>
          </w:p>
        </w:tc>
      </w:tr>
      <w:tr>
        <w:trPr>
          <w:trHeight w:val="258" w:hRule="auto"/>
          <w:jc w:val="left"/>
        </w:trPr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Nitra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0948 495 915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šice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0918 389 841</w:t>
            </w:r>
          </w:p>
        </w:tc>
      </w:tr>
      <w:tr>
        <w:trPr>
          <w:trHeight w:val="258" w:hRule="auto"/>
          <w:jc w:val="left"/>
        </w:trPr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šov</w:t>
            </w:r>
          </w:p>
        </w:tc>
        <w:tc>
          <w:tcPr>
            <w:tcW w:w="2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0911 908 823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Žilina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0905 342 812</w:t>
            </w:r>
          </w:p>
        </w:tc>
      </w:tr>
    </w:tbl>
    <w:p>
      <w:pPr>
        <w:spacing w:before="144" w:after="0" w:line="240"/>
        <w:ind w:right="0" w:left="113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4"/>
        </w:numPr>
        <w:spacing w:before="144" w:after="0" w:line="240"/>
        <w:ind w:right="0" w:left="1000" w:hanging="1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e-mailový kontakt: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novykoronavirus@uvzsr.sk</w:t>
        </w:r>
      </w:hyperlink>
    </w:p>
    <w:p>
      <w:pPr>
        <w:spacing w:before="144" w:after="0" w:line="240"/>
        <w:ind w:right="0" w:left="113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4" w:after="0" w:line="240"/>
        <w:ind w:right="0" w:left="113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4" w:after="0" w:line="240"/>
        <w:ind w:right="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16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24"/>
          <w:shd w:fill="auto" w:val="clear"/>
        </w:rPr>
        <w:t xml:space="preserve">na zástupcov obce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16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6"/>
          <w:sz w:val="24"/>
          <w:shd w:fill="auto" w:val="clear"/>
        </w:rPr>
        <w:t xml:space="preserve">:</w:t>
      </w:r>
    </w:p>
    <w:p>
      <w:pPr>
        <w:tabs>
          <w:tab w:val="left" w:pos="4456" w:leader="none"/>
          <w:tab w:val="right" w:pos="8978" w:leader="none"/>
        </w:tabs>
        <w:spacing w:before="7" w:after="0" w:line="240"/>
        <w:ind w:right="0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Marián Kotora</w:t>
        <w:tab/>
        <w:t xml:space="preserve">starosta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obce</w:t>
        <w:tab/>
        <w:t xml:space="preserve">0903 515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863</w:t>
      </w:r>
    </w:p>
    <w:p>
      <w:pPr>
        <w:tabs>
          <w:tab w:val="left" w:pos="4456" w:leader="none"/>
          <w:tab w:val="right" w:pos="8978" w:leader="none"/>
        </w:tabs>
        <w:spacing w:before="7" w:after="0" w:line="240"/>
        <w:ind w:right="0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456" w:leader="none"/>
          <w:tab w:val="right" w:pos="8978" w:leader="none"/>
        </w:tabs>
        <w:spacing w:before="7" w:after="0" w:line="240"/>
        <w:ind w:right="0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42" w:after="0" w:line="240"/>
        <w:ind w:right="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Organizácie pracujúce v danej lokalite v teréne:</w:t>
      </w:r>
    </w:p>
    <w:p>
      <w:pPr>
        <w:tabs>
          <w:tab w:val="left" w:pos="4456" w:leader="none"/>
          <w:tab w:val="left" w:pos="7337" w:leader="none"/>
        </w:tabs>
        <w:spacing w:before="7" w:after="0" w:line="240"/>
        <w:ind w:right="0" w:left="8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Mgr.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Zuzana Dó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 xml:space="preserve">ter.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soc.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</w:t>
        <w:tab/>
        <w:t xml:space="preserve">   0911 927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146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62" w:after="0" w:line="240"/>
        <w:ind w:right="1081" w:left="8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Pri vstupe do KC prijímate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ľovi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 bol vykonan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skríning so zameraním na akútnu respira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infekciu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 negatívnym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výsledkom,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poskytovania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álnej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neho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prejavil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 príznakov (teplota,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šeľ,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ýchavica, dodato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potvrdenie,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niekto z členov rodiny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potvrdené ochorenie COVID-19, resp. bol v úzkom kontakte s takým pacientom v posledných 14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ňoch alebo s cestovateľskou anamn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ézou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člena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ácnosti v rizikovej oblasti v posledných 14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ňoch.</w:t>
      </w:r>
    </w:p>
    <w:p>
      <w:pPr>
        <w:spacing w:before="2" w:after="0" w:line="240"/>
        <w:ind w:right="0" w:left="8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Iba so súhlasom zverejnenia osobných údajov</w:t>
      </w:r>
    </w:p>
    <w:p>
      <w:pPr>
        <w:spacing w:before="0" w:after="0" w:line="240"/>
        <w:ind w:right="0" w:left="8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9" w:after="0" w:line="240"/>
        <w:ind w:right="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1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98" w:after="0" w:line="240"/>
        <w:ind w:right="21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Dezinfekcia priestorov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890" w:type="dxa"/>
      </w:tblPr>
      <w:tblGrid>
        <w:gridCol w:w="900"/>
        <w:gridCol w:w="521"/>
        <w:gridCol w:w="2341"/>
        <w:gridCol w:w="2799"/>
        <w:gridCol w:w="2521"/>
      </w:tblGrid>
      <w:tr>
        <w:trPr>
          <w:trHeight w:val="736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Dátum</w:t>
            </w: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0"/>
              <w:ind w:right="0" w:left="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Čas</w:t>
            </w: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4"/>
              <w:ind w:right="0" w:left="544" w:hanging="20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Miesto, ktoré bolo dezinfikované</w:t>
            </w: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4"/>
              <w:ind w:right="0" w:left="889" w:hanging="40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 dezinfek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ý prostriedok</w:t>
            </w: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4"/>
              <w:ind w:right="0" w:left="272" w:firstLine="7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Meno zamestnanca/Podpis</w:t>
            </w:r>
          </w:p>
        </w:tc>
      </w:tr>
      <w:tr>
        <w:trPr>
          <w:trHeight w:val="282" w:hRule="auto"/>
          <w:jc w:val="left"/>
        </w:trPr>
        <w:tc>
          <w:tcPr>
            <w:tcW w:w="90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9" w:after="0" w:line="240"/>
        <w:ind w:right="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2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98" w:after="0" w:line="240"/>
        <w:ind w:right="21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Kontakty na krízový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áb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34" w:type="dxa"/>
      </w:tblPr>
      <w:tblGrid>
        <w:gridCol w:w="1416"/>
        <w:gridCol w:w="2554"/>
        <w:gridCol w:w="1558"/>
        <w:gridCol w:w="1841"/>
        <w:gridCol w:w="3406"/>
      </w:tblGrid>
      <w:tr>
        <w:trPr>
          <w:trHeight w:val="724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1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Organizácia</w:t>
            </w:r>
          </w:p>
        </w:tc>
        <w:tc>
          <w:tcPr>
            <w:tcW w:w="255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4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Meno a priezvisko</w:t>
            </w:r>
          </w:p>
        </w:tc>
        <w:tc>
          <w:tcPr>
            <w:tcW w:w="1558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266" w:left="36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Pozícia v krízovom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ábe</w:t>
            </w:r>
          </w:p>
        </w:tc>
        <w:tc>
          <w:tcPr>
            <w:tcW w:w="1841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0" w:after="0" w:line="249"/>
              <w:ind w:right="0" w:left="641" w:hanging="16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Telefonický kontakt</w:t>
            </w:r>
          </w:p>
        </w:tc>
        <w:tc>
          <w:tcPr>
            <w:tcW w:w="340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88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Mailový kontakt</w:t>
            </w:r>
          </w:p>
        </w:tc>
      </w:tr>
      <w:tr>
        <w:trPr>
          <w:trHeight w:val="228" w:hRule="auto"/>
          <w:jc w:val="left"/>
        </w:trPr>
        <w:tc>
          <w:tcPr>
            <w:tcW w:w="14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0" w:left="39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Obec Tekovské 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žany</w:t>
            </w:r>
          </w:p>
        </w:tc>
        <w:tc>
          <w:tcPr>
            <w:tcW w:w="2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Ing. Marián Kotora</w:t>
            </w:r>
          </w:p>
        </w:tc>
        <w:tc>
          <w:tcPr>
            <w:tcW w:w="1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33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predseda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036 / 77 23 501</w:t>
            </w:r>
          </w:p>
        </w:tc>
        <w:tc>
          <w:tcPr>
            <w:tcW w:w="34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starosta@tekovskeluzany.sk</w:t>
              </w:r>
            </w:hyperlink>
          </w:p>
        </w:tc>
      </w:tr>
      <w:tr>
        <w:trPr>
          <w:trHeight w:val="228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0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0903 515 863</w:t>
            </w:r>
          </w:p>
        </w:tc>
        <w:tc>
          <w:tcPr>
            <w:tcW w:w="340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Zoltán Kiss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18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podpredseda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0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0905 797 242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Zoltan.kiss@tekovskeluzany.sk</w:t>
              </w:r>
            </w:hyperlink>
          </w:p>
        </w:tc>
      </w:tr>
      <w:tr>
        <w:trPr>
          <w:trHeight w:val="228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Mgr. Peter Podhorský</w:t>
            </w:r>
          </w:p>
        </w:tc>
        <w:tc>
          <w:tcPr>
            <w:tcW w:w="15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3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52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0903 475 993</w:t>
            </w:r>
          </w:p>
        </w:tc>
        <w:tc>
          <w:tcPr>
            <w:tcW w:w="34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1" w:after="0" w:line="240"/>
              <w:ind w:right="0" w:left="432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Peter.podhorsky@tekovskeluzany.sk</w:t>
              </w:r>
            </w:hyperlink>
          </w:p>
        </w:tc>
      </w:tr>
      <w:tr>
        <w:trPr>
          <w:trHeight w:val="231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Mgr. Mária Mináriková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0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0907 294 912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Maria.minarikova@tekovskeluzany.sk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13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Mgr.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ňa Mervov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0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0908 855 490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Sona.mervova@tekovskeluzany.sk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Pavol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üvege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0905 302 937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Pavol.suveges@tekovskeluzany.sk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Mgr. Gábor Batár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0915 511 356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Gabor.batar@tekovskeluzany.sk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József Németh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0918 818 014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Jozsef.nemeth@tekovskeluzany.sk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Gábor Maródi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0914 148 680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Gabor.marodi@tekovskeluzany.sk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Ing. 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žbeta Tat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árová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0905 875 427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Alzbeta.tatarova@tekovskeluzany.sk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Mgr. Erika Tóth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0908 074 246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Erika.toth@tekovskeluzany.sk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71" w:hRule="auto"/>
          <w:jc w:val="left"/>
        </w:trPr>
        <w:tc>
          <w:tcPr>
            <w:tcW w:w="1416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15" w:left="13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3" w:left="16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8" w:after="0" w:line="240"/>
        <w:ind w:right="0" w:left="86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 a odporú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 zdroje: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1"/>
        </w:numPr>
        <w:tabs>
          <w:tab w:val="left" w:pos="1140" w:leader="none"/>
        </w:tabs>
        <w:spacing w:before="0" w:after="0" w:line="247"/>
        <w:ind w:right="1007" w:left="1139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https://kvalitasocialnychsluzieb.gov.sk/modelovy-krizovy-plan-na-predchadzanie-a-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riesenie-mimoriadnej-udalosti-v-suvislosti-s-nebezpecenstvom-sirenia-ochorenia-covid-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shd w:fill="auto" w:val="clear"/>
          </w:rPr>
          <w:t xml:space="preserve"> HYPERLINK "https://kvalitasocialnychsluzieb.gov.sk/modelovy-krizovy-plan-na-predchadzanie-a-riesenie-mimoriadnej-udalosti-v-suvislosti-s-nebezpecenstvom-sirenia-ochorenia-covid-19-sposobenej-koronavirusom-sars-cov-2-v-zariadeni-socialnych-sluzieb-z/"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19-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sposobenej-koronavirusom-sars-cov-2-v-zariadeni-socialnych-sluzieb-z/#_ftn26</w:t>
        </w:r>
      </w:hyperlink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3"/>
        </w:numPr>
        <w:tabs>
          <w:tab w:val="left" w:pos="1140" w:leader="none"/>
        </w:tabs>
        <w:spacing w:before="0" w:after="0" w:line="247"/>
        <w:ind w:right="1499" w:left="1139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https://www.rpsp.eu/2020/03/27/covid-19-odporucania-pre-zariadenia-socialnych-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sluzieb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shd w:fill="auto" w:val="clear"/>
          </w:rPr>
          <w:t xml:space="preserve"> HYPERLINK "https://www.rpsp.eu/2020/03/27/covid-19-odporucania-pre-zariadenia-socialnych-sluzieb/"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</w:hyperlink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5"/>
        </w:numPr>
        <w:tabs>
          <w:tab w:val="left" w:pos="1140" w:leader="none"/>
        </w:tabs>
        <w:spacing w:before="0" w:after="0" w:line="249"/>
        <w:ind w:right="1588" w:left="1139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http://www.employment.gov.sk/sk/koronavirus-pracovna-socialna-oblast/socialne-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sluzby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shd w:fill="auto" w:val="clear"/>
          </w:rPr>
          <w:t xml:space="preserve"> HYPERLINK "http://www.employment.gov.sk/sk/koronavirus-pracovna-socialna-oblast/socialne-sluzby/"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</w:hyperlink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7"/>
        </w:numPr>
        <w:tabs>
          <w:tab w:val="left" w:pos="1140" w:leader="none"/>
        </w:tabs>
        <w:spacing w:before="0" w:after="0" w:line="247"/>
        <w:ind w:right="1621" w:left="1139" w:hanging="308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https://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www.employment.gov.sk/files/slovensky/rodina-socialna-pomoc/socialne-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sluzby/uvzsr/plan-predchadzania-vzniku-sirenia-ochorenia-covid-19-14-4-2020.pd</w:t>
      </w:r>
    </w:p>
    <w:p>
      <w:pPr>
        <w:spacing w:before="78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23">
    <w:abstractNumId w:val="102"/>
  </w:num>
  <w:num w:numId="25">
    <w:abstractNumId w:val="96"/>
  </w:num>
  <w:num w:numId="47">
    <w:abstractNumId w:val="90"/>
  </w:num>
  <w:num w:numId="57">
    <w:abstractNumId w:val="84"/>
  </w:num>
  <w:num w:numId="80">
    <w:abstractNumId w:val="78"/>
  </w:num>
  <w:num w:numId="84">
    <w:abstractNumId w:val="72"/>
  </w:num>
  <w:num w:numId="96">
    <w:abstractNumId w:val="66"/>
  </w:num>
  <w:num w:numId="100">
    <w:abstractNumId w:val="60"/>
  </w:num>
  <w:num w:numId="111">
    <w:abstractNumId w:val="54"/>
  </w:num>
  <w:num w:numId="121">
    <w:abstractNumId w:val="48"/>
  </w:num>
  <w:num w:numId="124">
    <w:abstractNumId w:val="42"/>
  </w:num>
  <w:num w:numId="129">
    <w:abstractNumId w:val="36"/>
  </w:num>
  <w:num w:numId="137">
    <w:abstractNumId w:val="30"/>
  </w:num>
  <w:num w:numId="164">
    <w:abstractNumId w:val="24"/>
  </w:num>
  <w:num w:numId="391">
    <w:abstractNumId w:val="18"/>
  </w:num>
  <w:num w:numId="393">
    <w:abstractNumId w:val="12"/>
  </w:num>
  <w:num w:numId="395">
    <w:abstractNumId w:val="6"/>
  </w:num>
  <w:num w:numId="3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valitasocialnychsluzieb.gov.sk/modelovy-krizovy-plan-na-predchadzanie-a-riesenie-mimoriadnej-udalosti-v-suvislosti-s-nebezpecenstvom-sirenia-ochorenia-covid-19-sposobenej-koronavirusom-sars-cov-2-v-zariadeni-socialnych-sluzieb-z/" Id="docRId17" Type="http://schemas.openxmlformats.org/officeDocument/2006/relationships/hyperlink" /><Relationship Target="numbering.xml" Id="docRId24" Type="http://schemas.openxmlformats.org/officeDocument/2006/relationships/numbering" /><Relationship TargetMode="External" Target="mailto:Peter.podhorsky@tekovskeluzany.sk" Id="docRId7" Type="http://schemas.openxmlformats.org/officeDocument/2006/relationships/hyperlink" /><Relationship TargetMode="External" Target="mailto:Alzbeta.tatarova@tekovskeluzany.sk" Id="docRId14" Type="http://schemas.openxmlformats.org/officeDocument/2006/relationships/hyperlink" /><Relationship TargetMode="External" Target="http://www.employment.gov.sk/files/slovensky/rodina-socialna-pomoc/socialne-" Id="docRId23" Type="http://schemas.openxmlformats.org/officeDocument/2006/relationships/hyperlink" /><Relationship TargetMode="External" Target="mailto:Zoltan.kiss@tekovskeluzany.sk" Id="docRId6" Type="http://schemas.openxmlformats.org/officeDocument/2006/relationships/hyperlink" /><Relationship TargetMode="External" Target="http://www.ruvznz.sk/txt/korona.pdf" Id="docRId1" Type="http://schemas.openxmlformats.org/officeDocument/2006/relationships/hyperlink" /><Relationship TargetMode="External" Target="mailto:Erika.toth@tekovskeluzany.sk" Id="docRId15" Type="http://schemas.openxmlformats.org/officeDocument/2006/relationships/hyperlink" /><Relationship TargetMode="External" Target="http://www.employment.gov.sk/sk/koronavirus-pracovna-socialna-oblast/socialne-sluzby/" Id="docRId22" Type="http://schemas.openxmlformats.org/officeDocument/2006/relationships/hyperlink" /><Relationship TargetMode="External" Target="mailto:Sona.mervova@tekovskeluzany.sk" Id="docRId9" Type="http://schemas.openxmlformats.org/officeDocument/2006/relationships/hyperlink" /><Relationship TargetMode="External" Target="https://www.ia.gov.sk/npkiku/data/files/np_kiku/dokumenty/Standardy%20komunitnych%20centier%20brozura%20ISBN.pdf" Id="docRId0" Type="http://schemas.openxmlformats.org/officeDocument/2006/relationships/hyperlink" /><Relationship TargetMode="External" Target="mailto:Jozsef.nemeth@tekovskeluzany.sk" Id="docRId12" Type="http://schemas.openxmlformats.org/officeDocument/2006/relationships/hyperlink" /><Relationship TargetMode="External" Target="https://kvalitasocialnychsluzieb.gov.sk/modelovy-krizovy-plan-na-predchadzanie-a-riesenie-mimoriadnej-udalosti-v-suvislosti-s-nebezpecenstvom-sirenia-ochorenia-covid-19-sposobenej-koronavirusom-sars-cov-2-v-zariadeni-socialnych-sluzieb-z/" Id="docRId16" Type="http://schemas.openxmlformats.org/officeDocument/2006/relationships/hyperlink" /><Relationship TargetMode="External" Target="http://www.employment.gov.sk/sk/koronavirus-pracovna-socialna-oblast/socialne-sluzby/" Id="docRId21" Type="http://schemas.openxmlformats.org/officeDocument/2006/relationships/hyperlink" /><Relationship Target="styles.xml" Id="docRId25" Type="http://schemas.openxmlformats.org/officeDocument/2006/relationships/styles" /><Relationship TargetMode="External" Target="mailto:novykoronavirus@uvzsr.sk" Id="docRId4" Type="http://schemas.openxmlformats.org/officeDocument/2006/relationships/hyperlink" /><Relationship TargetMode="External" Target="mailto:Maria.minarikova@tekovskeluzany.sk" Id="docRId8" Type="http://schemas.openxmlformats.org/officeDocument/2006/relationships/hyperlink" /><Relationship TargetMode="External" Target="mailto:Gabor.marodi@tekovskeluzany.sk" Id="docRId13" Type="http://schemas.openxmlformats.org/officeDocument/2006/relationships/hyperlink" /><Relationship TargetMode="External" Target="https://www.rpsp.eu/2020/03/27/covid-19-odporucania-pre-zariadenia-socialnych-sluzieb/" Id="docRId20" Type="http://schemas.openxmlformats.org/officeDocument/2006/relationships/hyperlink" /><Relationship TargetMode="External" Target="https://www.employment.gov.sk/files/slovensky/rodina-socialna-pomoc/socialne-sluzby/mz-sr-mpsvr-sr-socialne-sluzby.pdf" Id="docRId3" Type="http://schemas.openxmlformats.org/officeDocument/2006/relationships/hyperlink" /><Relationship TargetMode="External" Target="mailto:Pavol.suveges@tekovskeluzany.sk" Id="docRId10" Type="http://schemas.openxmlformats.org/officeDocument/2006/relationships/hyperlink" /><Relationship TargetMode="External" Target="https://kvalitasocialnychsluzieb.gov.sk/modelovy-krizovy-plan-na-predchadzanie-a-riesenie-mimoriadnej-udalosti-v-suvislosti-s-nebezpecenstvom-sirenia-ochorenia-covid-19-sposobenej-koronavirusom-sars-cov-2-v-zariadeni-socialnych-sluzieb-z/" Id="docRId18" Type="http://schemas.openxmlformats.org/officeDocument/2006/relationships/hyperlink" /><Relationship TargetMode="External" Target="https://www.employment.gov.sk/files/slovensky/rodina-socialna-pomoc/socialne-sluzby/mz-sr-mpsvr-sr-socialne-sluzby.pdf" Id="docRId2" Type="http://schemas.openxmlformats.org/officeDocument/2006/relationships/hyperlink" /><Relationship TargetMode="External" Target="mailto:Gabor.batar@tekovskeluzany.sk" Id="docRId11" Type="http://schemas.openxmlformats.org/officeDocument/2006/relationships/hyperlink" /><Relationship TargetMode="External" Target="https://www.rpsp.eu/2020/03/27/covid-19-odporucania-pre-zariadenia-socialnych-sluzieb/" Id="docRId19" Type="http://schemas.openxmlformats.org/officeDocument/2006/relationships/hyperlink" /><Relationship TargetMode="External" Target="mailto:starosta@tekovskeluzany.sk" Id="docRId5" Type="http://schemas.openxmlformats.org/officeDocument/2006/relationships/hyperlink" /></Relationships>
</file>